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黑体" w:hAnsi="黑体" w:eastAsia="黑体" w:cs="宋体"/>
          <w:bCs/>
          <w:kern w:val="0"/>
          <w:sz w:val="30"/>
          <w:szCs w:val="30"/>
        </w:rPr>
      </w:pPr>
      <w:r>
        <w:rPr>
          <w:rFonts w:hint="eastAsia" w:ascii="黑体" w:hAnsi="黑体" w:eastAsia="黑体" w:cs="宋体"/>
          <w:bCs/>
          <w:kern w:val="0"/>
          <w:sz w:val="30"/>
          <w:szCs w:val="30"/>
        </w:rPr>
        <w:t>附件1</w:t>
      </w:r>
    </w:p>
    <w:p>
      <w:pPr>
        <w:pStyle w:val="6"/>
        <w:tabs>
          <w:tab w:val="left" w:pos="3119"/>
        </w:tabs>
        <w:spacing w:before="100" w:beforeAutospacing="1" w:after="100" w:afterAutospacing="1" w:line="580" w:lineRule="exact"/>
        <w:jc w:val="center"/>
        <w:rPr>
          <w:rFonts w:eastAsia="方正小标宋简体" w:cs="方正小标宋简体"/>
          <w:sz w:val="36"/>
          <w:szCs w:val="36"/>
          <w:u w:val="none" w:color="auto"/>
        </w:rPr>
      </w:pPr>
      <w:r>
        <w:rPr>
          <w:rFonts w:hint="eastAsia" w:eastAsia="方正小标宋简体" w:cs="方正小标宋简体"/>
          <w:sz w:val="36"/>
          <w:szCs w:val="36"/>
          <w:u w:val="none" w:color="auto"/>
        </w:rPr>
        <w:t>全国高校辅导员网络培训示范班实施方案</w:t>
      </w:r>
    </w:p>
    <w:p>
      <w:pPr>
        <w:spacing w:line="580" w:lineRule="exact"/>
        <w:ind w:firstLine="600" w:firstLineChars="200"/>
        <w:rPr>
          <w:rFonts w:ascii="黑体" w:hAnsi="黑体" w:eastAsia="黑体"/>
          <w:color w:val="000000"/>
          <w:sz w:val="30"/>
          <w:szCs w:val="30"/>
        </w:rPr>
      </w:pPr>
      <w:r>
        <w:rPr>
          <w:rFonts w:hint="eastAsia" w:ascii="黑体" w:hAnsi="黑体" w:eastAsia="黑体"/>
          <w:color w:val="000000"/>
          <w:sz w:val="30"/>
          <w:szCs w:val="30"/>
        </w:rPr>
        <w:t>一、培训时间与安排</w:t>
      </w:r>
    </w:p>
    <w:p>
      <w:pPr>
        <w:spacing w:line="540" w:lineRule="exact"/>
        <w:ind w:firstLine="600" w:firstLineChars="200"/>
        <w:rPr>
          <w:rFonts w:hint="eastAsia" w:ascii="仿宋_GB2312" w:eastAsia="仿宋_GB2312"/>
          <w:color w:val="000000"/>
          <w:sz w:val="30"/>
          <w:szCs w:val="30"/>
          <w:u w:val="none" w:color="000000"/>
          <w:lang w:val="zh-TW" w:eastAsia="zh-TW"/>
        </w:rPr>
      </w:pPr>
      <w:r>
        <w:rPr>
          <w:rFonts w:hint="eastAsia" w:ascii="仿宋_GB2312" w:eastAsia="仿宋_GB2312"/>
          <w:sz w:val="30"/>
          <w:szCs w:val="30"/>
        </w:rPr>
        <w:t>培训时间为</w:t>
      </w:r>
      <w:r>
        <w:rPr>
          <w:rFonts w:eastAsia="仿宋_GB2312"/>
          <w:sz w:val="30"/>
          <w:szCs w:val="30"/>
        </w:rPr>
        <w:t>2020年3月9日至5月10日</w:t>
      </w:r>
      <w:r>
        <w:rPr>
          <w:rFonts w:hint="eastAsia" w:ascii="仿宋_GB2312" w:eastAsia="仿宋_GB2312"/>
          <w:sz w:val="30"/>
          <w:szCs w:val="30"/>
        </w:rPr>
        <w:t>，分为准备、学习、总结三个阶段，具体安排见下表：</w:t>
      </w:r>
    </w:p>
    <w:tbl>
      <w:tblPr>
        <w:tblStyle w:val="4"/>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419"/>
        <w:gridCol w:w="2268"/>
        <w:gridCol w:w="462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01"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6"/>
              <w:widowControl/>
              <w:jc w:val="center"/>
              <w:rPr>
                <w:rFonts w:eastAsia="仿宋_GB2312" w:cs="Times New Roman"/>
                <w:b/>
                <w:bCs/>
                <w:kern w:val="0"/>
                <w:sz w:val="24"/>
                <w:szCs w:val="24"/>
              </w:rPr>
            </w:pPr>
            <w:r>
              <w:rPr>
                <w:rFonts w:eastAsia="仿宋_GB2312" w:cs="Times New Roman"/>
                <w:b/>
                <w:bCs/>
                <w:kern w:val="0"/>
                <w:sz w:val="24"/>
                <w:szCs w:val="24"/>
              </w:rPr>
              <w:t>培训阶段</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6"/>
              <w:widowControl/>
              <w:jc w:val="center"/>
              <w:rPr>
                <w:rFonts w:eastAsia="仿宋_GB2312" w:cs="Times New Roman"/>
                <w:b/>
                <w:bCs/>
                <w:kern w:val="0"/>
                <w:sz w:val="24"/>
                <w:szCs w:val="24"/>
              </w:rPr>
            </w:pPr>
            <w:r>
              <w:rPr>
                <w:rFonts w:eastAsia="仿宋_GB2312" w:cs="Times New Roman"/>
                <w:b/>
                <w:bCs/>
                <w:kern w:val="0"/>
                <w:sz w:val="24"/>
                <w:szCs w:val="24"/>
              </w:rPr>
              <w:t>培训时间</w:t>
            </w:r>
          </w:p>
        </w:tc>
        <w:tc>
          <w:tcPr>
            <w:tcW w:w="46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6"/>
              <w:widowControl/>
              <w:jc w:val="center"/>
              <w:rPr>
                <w:rFonts w:eastAsia="仿宋_GB2312" w:cs="Times New Roman"/>
                <w:b/>
                <w:bCs/>
                <w:kern w:val="0"/>
                <w:sz w:val="24"/>
                <w:szCs w:val="24"/>
              </w:rPr>
            </w:pPr>
            <w:r>
              <w:rPr>
                <w:rFonts w:eastAsia="仿宋_GB2312" w:cs="Times New Roman"/>
                <w:b/>
                <w:bCs/>
                <w:kern w:val="0"/>
                <w:sz w:val="24"/>
                <w:szCs w:val="24"/>
              </w:rPr>
              <w:t>工作内容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87"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6"/>
              <w:jc w:val="center"/>
              <w:rPr>
                <w:rFonts w:eastAsia="仿宋_GB2312" w:cs="Times New Roman"/>
                <w:kern w:val="0"/>
                <w:sz w:val="24"/>
                <w:szCs w:val="24"/>
              </w:rPr>
            </w:pPr>
            <w:r>
              <w:rPr>
                <w:rFonts w:eastAsia="仿宋_GB2312" w:cs="Times New Roman"/>
                <w:kern w:val="0"/>
                <w:sz w:val="24"/>
                <w:szCs w:val="24"/>
              </w:rPr>
              <w:t>准备阶段</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6"/>
              <w:jc w:val="center"/>
              <w:rPr>
                <w:rFonts w:eastAsia="仿宋_GB2312" w:cs="Times New Roman"/>
                <w:kern w:val="0"/>
                <w:sz w:val="24"/>
                <w:szCs w:val="24"/>
              </w:rPr>
            </w:pPr>
            <w:r>
              <w:rPr>
                <w:rFonts w:eastAsia="仿宋_GB2312" w:cs="Times New Roman"/>
                <w:kern w:val="0"/>
                <w:sz w:val="24"/>
                <w:szCs w:val="24"/>
              </w:rPr>
              <w:t>3月9日</w:t>
            </w:r>
            <w:r>
              <w:rPr>
                <w:rFonts w:hint="eastAsia" w:ascii="仿宋_GB2312" w:eastAsia="仿宋_GB2312" w:cs="Times New Roman"/>
                <w:kern w:val="0"/>
                <w:sz w:val="24"/>
                <w:szCs w:val="24"/>
              </w:rPr>
              <w:t>-</w:t>
            </w:r>
            <w:r>
              <w:rPr>
                <w:rFonts w:eastAsia="仿宋_GB2312" w:cs="Times New Roman"/>
                <w:kern w:val="0"/>
                <w:sz w:val="24"/>
                <w:szCs w:val="24"/>
              </w:rPr>
              <w:t>3月22日</w:t>
            </w:r>
          </w:p>
        </w:tc>
        <w:tc>
          <w:tcPr>
            <w:tcW w:w="46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6"/>
              <w:ind w:left="210" w:leftChars="100"/>
              <w:rPr>
                <w:rFonts w:eastAsia="仿宋_GB2312" w:cs="Times New Roman"/>
                <w:kern w:val="0"/>
                <w:sz w:val="24"/>
                <w:szCs w:val="24"/>
              </w:rPr>
            </w:pPr>
            <w:r>
              <w:rPr>
                <w:rFonts w:eastAsia="仿宋_GB2312" w:cs="Times New Roman"/>
                <w:kern w:val="0"/>
                <w:sz w:val="24"/>
                <w:szCs w:val="24"/>
              </w:rPr>
              <w:t xml:space="preserve">1. </w:t>
            </w:r>
            <w:r>
              <w:rPr>
                <w:rFonts w:eastAsia="仿宋_GB2312" w:cs="Times New Roman"/>
                <w:kern w:val="0"/>
                <w:sz w:val="24"/>
                <w:szCs w:val="24"/>
                <w:lang w:val="zh-TW" w:eastAsia="zh-TW"/>
              </w:rPr>
              <w:t>发放培训通知，部署培训工作</w:t>
            </w:r>
            <w:r>
              <w:rPr>
                <w:rFonts w:eastAsia="仿宋_GB2312" w:cs="Times New Roman"/>
                <w:kern w:val="0"/>
                <w:sz w:val="24"/>
                <w:szCs w:val="24"/>
                <w:lang w:val="zh-TW"/>
              </w:rPr>
              <w:t>；</w:t>
            </w:r>
          </w:p>
          <w:p>
            <w:pPr>
              <w:pStyle w:val="6"/>
              <w:ind w:left="210" w:leftChars="100"/>
              <w:rPr>
                <w:rFonts w:eastAsia="仿宋_GB2312" w:cs="Times New Roman"/>
                <w:kern w:val="0"/>
                <w:sz w:val="24"/>
                <w:szCs w:val="24"/>
              </w:rPr>
            </w:pPr>
            <w:r>
              <w:rPr>
                <w:rFonts w:eastAsia="仿宋_GB2312" w:cs="Times New Roman"/>
                <w:kern w:val="0"/>
                <w:sz w:val="24"/>
                <w:szCs w:val="24"/>
              </w:rPr>
              <w:t>2. 建立培训管理团队，进行训前指导；</w:t>
            </w:r>
          </w:p>
          <w:p>
            <w:pPr>
              <w:pStyle w:val="6"/>
              <w:ind w:left="210" w:leftChars="100"/>
              <w:rPr>
                <w:rFonts w:eastAsia="仿宋_GB2312" w:cs="Times New Roman"/>
                <w:kern w:val="0"/>
                <w:sz w:val="24"/>
                <w:szCs w:val="24"/>
              </w:rPr>
            </w:pPr>
            <w:r>
              <w:rPr>
                <w:rFonts w:eastAsia="仿宋_GB2312" w:cs="Times New Roman"/>
                <w:kern w:val="0"/>
                <w:sz w:val="24"/>
                <w:szCs w:val="24"/>
              </w:rPr>
              <w:t xml:space="preserve">3. </w:t>
            </w:r>
            <w:r>
              <w:rPr>
                <w:rFonts w:hint="eastAsia" w:eastAsia="仿宋_GB2312" w:cs="Times New Roman"/>
                <w:kern w:val="0"/>
                <w:sz w:val="24"/>
                <w:szCs w:val="24"/>
              </w:rPr>
              <w:t>学员在线自主报名，学校管理员审核报名信息</w:t>
            </w:r>
            <w:r>
              <w:rPr>
                <w:rFonts w:eastAsia="仿宋_GB2312" w:cs="Times New Roman"/>
                <w:kern w:val="0"/>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59"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6"/>
              <w:jc w:val="center"/>
              <w:rPr>
                <w:rFonts w:eastAsia="仿宋_GB2312" w:cs="Times New Roman"/>
                <w:kern w:val="0"/>
                <w:sz w:val="24"/>
                <w:szCs w:val="24"/>
              </w:rPr>
            </w:pPr>
            <w:r>
              <w:rPr>
                <w:rFonts w:eastAsia="仿宋_GB2312" w:cs="Times New Roman"/>
                <w:kern w:val="0"/>
                <w:sz w:val="24"/>
                <w:szCs w:val="24"/>
              </w:rPr>
              <w:t>学习阶段</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6"/>
              <w:jc w:val="center"/>
              <w:rPr>
                <w:rFonts w:eastAsia="仿宋_GB2312" w:cs="Times New Roman"/>
                <w:kern w:val="0"/>
                <w:sz w:val="24"/>
                <w:szCs w:val="24"/>
              </w:rPr>
            </w:pPr>
            <w:r>
              <w:rPr>
                <w:rFonts w:eastAsia="仿宋_GB2312" w:cs="Times New Roman"/>
                <w:kern w:val="0"/>
                <w:sz w:val="24"/>
                <w:szCs w:val="24"/>
              </w:rPr>
              <w:t>3月23日</w:t>
            </w:r>
            <w:r>
              <w:rPr>
                <w:rFonts w:hint="eastAsia" w:ascii="仿宋_GB2312" w:eastAsia="仿宋_GB2312" w:cs="Times New Roman"/>
                <w:kern w:val="0"/>
                <w:sz w:val="24"/>
                <w:szCs w:val="24"/>
              </w:rPr>
              <w:t>-</w:t>
            </w:r>
            <w:r>
              <w:rPr>
                <w:rFonts w:eastAsia="仿宋_GB2312" w:cs="Times New Roman"/>
                <w:kern w:val="0"/>
                <w:sz w:val="24"/>
                <w:szCs w:val="24"/>
              </w:rPr>
              <w:t>4月30日</w:t>
            </w:r>
          </w:p>
        </w:tc>
        <w:tc>
          <w:tcPr>
            <w:tcW w:w="46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6"/>
              <w:ind w:left="210" w:leftChars="100"/>
              <w:rPr>
                <w:rFonts w:eastAsia="仿宋_GB2312" w:cs="Times New Roman"/>
                <w:kern w:val="0"/>
                <w:sz w:val="24"/>
                <w:szCs w:val="24"/>
              </w:rPr>
            </w:pPr>
            <w:r>
              <w:rPr>
                <w:rFonts w:eastAsia="仿宋_GB2312" w:cs="Times New Roman"/>
                <w:kern w:val="0"/>
                <w:sz w:val="24"/>
                <w:szCs w:val="24"/>
              </w:rPr>
              <w:t>1. 参训学员按照教学计划，完成规定课程，参与主题研讨和直播答疑，撰写学习心得，完成各项考核要求在线打印学时证明；</w:t>
            </w:r>
          </w:p>
          <w:p>
            <w:pPr>
              <w:pStyle w:val="6"/>
              <w:ind w:left="210" w:leftChars="100"/>
              <w:rPr>
                <w:rFonts w:hint="eastAsia" w:eastAsia="仿宋_GB2312" w:cs="Times New Roman"/>
                <w:kern w:val="0"/>
                <w:sz w:val="24"/>
                <w:szCs w:val="24"/>
              </w:rPr>
            </w:pPr>
            <w:r>
              <w:rPr>
                <w:rFonts w:eastAsia="仿宋_GB2312" w:cs="Times New Roman"/>
                <w:kern w:val="0"/>
                <w:sz w:val="24"/>
                <w:szCs w:val="24"/>
              </w:rPr>
              <w:t>2. 各地党委教育工作部门加强统筹，做好培训指导，协助做好服务保障；</w:t>
            </w:r>
          </w:p>
          <w:p>
            <w:pPr>
              <w:pStyle w:val="6"/>
              <w:ind w:left="210" w:leftChars="100"/>
              <w:rPr>
                <w:rFonts w:eastAsia="仿宋_GB2312" w:cs="Times New Roman"/>
                <w:kern w:val="0"/>
                <w:sz w:val="24"/>
                <w:szCs w:val="24"/>
              </w:rPr>
            </w:pPr>
            <w:r>
              <w:rPr>
                <w:rFonts w:hint="eastAsia" w:eastAsia="仿宋_GB2312" w:cs="Times New Roman"/>
                <w:kern w:val="0"/>
                <w:sz w:val="24"/>
                <w:szCs w:val="24"/>
              </w:rPr>
              <w:t>3. 各高校党委加强组织，开展一次“共抗疫情、爱国力行”的主题讨论。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66"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6"/>
              <w:jc w:val="center"/>
              <w:rPr>
                <w:rFonts w:eastAsia="仿宋_GB2312" w:cs="Times New Roman"/>
                <w:kern w:val="0"/>
                <w:sz w:val="24"/>
                <w:szCs w:val="24"/>
              </w:rPr>
            </w:pPr>
            <w:r>
              <w:rPr>
                <w:rFonts w:eastAsia="仿宋_GB2312" w:cs="Times New Roman"/>
                <w:kern w:val="0"/>
                <w:sz w:val="24"/>
                <w:szCs w:val="24"/>
              </w:rPr>
              <w:t>总结阶段</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6"/>
              <w:jc w:val="center"/>
              <w:rPr>
                <w:rFonts w:eastAsia="仿宋_GB2312" w:cs="Times New Roman"/>
                <w:kern w:val="0"/>
                <w:sz w:val="24"/>
                <w:szCs w:val="24"/>
              </w:rPr>
            </w:pPr>
            <w:r>
              <w:rPr>
                <w:rFonts w:eastAsia="仿宋_GB2312" w:cs="Times New Roman"/>
                <w:kern w:val="0"/>
                <w:sz w:val="24"/>
                <w:szCs w:val="24"/>
              </w:rPr>
              <w:t>5月1日</w:t>
            </w:r>
            <w:r>
              <w:rPr>
                <w:rFonts w:hint="eastAsia" w:ascii="仿宋_GB2312" w:eastAsia="仿宋_GB2312" w:cs="Times New Roman"/>
                <w:kern w:val="0"/>
                <w:sz w:val="24"/>
                <w:szCs w:val="24"/>
              </w:rPr>
              <w:t>-</w:t>
            </w:r>
            <w:r>
              <w:rPr>
                <w:rFonts w:eastAsia="仿宋_GB2312" w:cs="Times New Roman"/>
                <w:kern w:val="0"/>
                <w:sz w:val="24"/>
                <w:szCs w:val="24"/>
              </w:rPr>
              <w:t>5月10日</w:t>
            </w:r>
          </w:p>
        </w:tc>
        <w:tc>
          <w:tcPr>
            <w:tcW w:w="46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6"/>
              <w:ind w:left="210" w:leftChars="100"/>
              <w:rPr>
                <w:rFonts w:eastAsia="仿宋_GB2312" w:cs="Times New Roman"/>
                <w:kern w:val="0"/>
                <w:sz w:val="24"/>
                <w:szCs w:val="24"/>
              </w:rPr>
            </w:pPr>
            <w:r>
              <w:rPr>
                <w:rFonts w:eastAsia="仿宋_GB2312" w:cs="Times New Roman"/>
                <w:kern w:val="0"/>
                <w:sz w:val="24"/>
                <w:szCs w:val="24"/>
              </w:rPr>
              <w:t>1. 各地党委教育工作部门提交培训工作总结，遴选优秀工作案例；</w:t>
            </w:r>
          </w:p>
          <w:p>
            <w:pPr>
              <w:pStyle w:val="6"/>
              <w:ind w:left="210" w:leftChars="100"/>
              <w:rPr>
                <w:rFonts w:eastAsia="仿宋_GB2312" w:cs="Times New Roman"/>
                <w:kern w:val="0"/>
                <w:sz w:val="24"/>
                <w:szCs w:val="24"/>
              </w:rPr>
            </w:pPr>
            <w:r>
              <w:rPr>
                <w:rFonts w:eastAsia="仿宋_GB2312" w:cs="Times New Roman"/>
                <w:kern w:val="0"/>
                <w:sz w:val="24"/>
                <w:szCs w:val="24"/>
              </w:rPr>
              <w:t>2. 开展培训评估与总结。</w:t>
            </w:r>
          </w:p>
        </w:tc>
      </w:tr>
    </w:tbl>
    <w:p>
      <w:pPr>
        <w:spacing w:line="580" w:lineRule="exact"/>
        <w:ind w:firstLine="600" w:firstLineChars="200"/>
        <w:jc w:val="left"/>
        <w:rPr>
          <w:rFonts w:hint="eastAsia" w:eastAsia="黑体"/>
          <w:kern w:val="0"/>
          <w:sz w:val="30"/>
          <w:szCs w:val="30"/>
        </w:rPr>
      </w:pPr>
      <w:r>
        <w:rPr>
          <w:rFonts w:hint="eastAsia" w:eastAsia="黑体"/>
          <w:kern w:val="0"/>
          <w:sz w:val="30"/>
          <w:szCs w:val="30"/>
        </w:rPr>
        <w:t>二、培训平台使用</w:t>
      </w:r>
    </w:p>
    <w:p>
      <w:pPr>
        <w:pStyle w:val="6"/>
        <w:tabs>
          <w:tab w:val="left" w:pos="3119"/>
        </w:tabs>
        <w:spacing w:line="540" w:lineRule="exact"/>
        <w:ind w:firstLine="601"/>
        <w:rPr>
          <w:rFonts w:hint="eastAsia" w:ascii="仿宋_GB2312" w:eastAsia="仿宋_GB2312" w:cs="Times New Roman"/>
          <w:color w:val="auto"/>
          <w:sz w:val="30"/>
          <w:szCs w:val="30"/>
        </w:rPr>
      </w:pPr>
      <w:r>
        <w:rPr>
          <w:sz w:val="30"/>
          <w:szCs w:val="30"/>
        </w:rPr>
        <w:drawing>
          <wp:anchor distT="0" distB="0" distL="114300" distR="114300" simplePos="0" relativeHeight="251659264" behindDoc="0" locked="0" layoutInCell="1" allowOverlap="1">
            <wp:simplePos x="0" y="0"/>
            <wp:positionH relativeFrom="column">
              <wp:posOffset>2116455</wp:posOffset>
            </wp:positionH>
            <wp:positionV relativeFrom="paragraph">
              <wp:posOffset>1678940</wp:posOffset>
            </wp:positionV>
            <wp:extent cx="1038225" cy="1038225"/>
            <wp:effectExtent l="0" t="0" r="3175" b="3175"/>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a:stretch>
                      <a:fillRect/>
                    </a:stretch>
                  </pic:blipFill>
                  <pic:spPr>
                    <a:xfrm>
                      <a:off x="0" y="0"/>
                      <a:ext cx="1038225" cy="1038225"/>
                    </a:xfrm>
                    <a:prstGeom prst="rect">
                      <a:avLst/>
                    </a:prstGeom>
                    <a:noFill/>
                    <a:ln>
                      <a:noFill/>
                    </a:ln>
                  </pic:spPr>
                </pic:pic>
              </a:graphicData>
            </a:graphic>
          </wp:anchor>
        </w:drawing>
      </w:r>
      <w:r>
        <w:rPr>
          <w:rFonts w:hint="eastAsia" w:ascii="仿宋_GB2312" w:eastAsia="仿宋_GB2312" w:cs="Times New Roman"/>
          <w:color w:val="auto"/>
          <w:sz w:val="30"/>
          <w:szCs w:val="30"/>
        </w:rPr>
        <w:t>培训依托国家教育行政学院高校辅导员网络学院平台（</w:t>
      </w:r>
      <w:r>
        <w:rPr>
          <w:rFonts w:eastAsia="仿宋_GB2312" w:cs="Times New Roman"/>
          <w:sz w:val="30"/>
          <w:szCs w:val="30"/>
          <w:lang w:eastAsia="zh-TW"/>
        </w:rPr>
        <w:t>www.</w:t>
      </w:r>
      <w:r>
        <w:rPr>
          <w:rFonts w:eastAsia="仿宋_GB2312" w:cs="Times New Roman"/>
          <w:sz w:val="30"/>
          <w:szCs w:val="30"/>
        </w:rPr>
        <w:t>ausc</w:t>
      </w:r>
      <w:r>
        <w:rPr>
          <w:rFonts w:eastAsia="仿宋_GB2312" w:cs="Times New Roman"/>
          <w:sz w:val="30"/>
          <w:szCs w:val="30"/>
          <w:lang w:eastAsia="zh-TW"/>
        </w:rPr>
        <w:t>.edu.cn</w:t>
      </w:r>
      <w:r>
        <w:rPr>
          <w:rFonts w:hint="eastAsia" w:ascii="仿宋_GB2312" w:eastAsia="仿宋_GB2312" w:cs="Times New Roman"/>
          <w:color w:val="auto"/>
          <w:sz w:val="30"/>
          <w:szCs w:val="30"/>
        </w:rPr>
        <w:t>）组织实施。参训学员首先在高校辅导员网络学院平台在线报名，报名成功后直接登录参加学习。培训期间参训学员可下载高校辅导员网络学院移动客户端（学习公社</w:t>
      </w:r>
      <w:r>
        <w:rPr>
          <w:rFonts w:eastAsia="仿宋_GB2312" w:cs="Times New Roman"/>
          <w:color w:val="auto"/>
          <w:sz w:val="30"/>
          <w:szCs w:val="30"/>
        </w:rPr>
        <w:t>APP</w:t>
      </w:r>
      <w:r>
        <w:rPr>
          <w:rFonts w:hint="eastAsia" w:ascii="仿宋_GB2312" w:eastAsia="仿宋_GB2312" w:cs="Times New Roman"/>
          <w:color w:val="auto"/>
          <w:sz w:val="30"/>
          <w:szCs w:val="30"/>
        </w:rPr>
        <w:t>）随时登录学习。</w:t>
      </w:r>
    </w:p>
    <w:p>
      <w:pPr>
        <w:spacing w:line="360" w:lineRule="auto"/>
        <w:jc w:val="center"/>
        <w:rPr>
          <w:sz w:val="28"/>
          <w:szCs w:val="28"/>
        </w:rPr>
      </w:pPr>
    </w:p>
    <w:p>
      <w:pPr>
        <w:spacing w:line="360" w:lineRule="auto"/>
        <w:jc w:val="left"/>
        <w:rPr>
          <w:rFonts w:hint="eastAsia" w:eastAsia="黑体"/>
          <w:kern w:val="0"/>
          <w:sz w:val="30"/>
          <w:szCs w:val="30"/>
        </w:rPr>
      </w:pPr>
    </w:p>
    <w:p>
      <w:pPr>
        <w:spacing w:line="580" w:lineRule="exact"/>
        <w:ind w:firstLine="600" w:firstLineChars="200"/>
        <w:jc w:val="left"/>
        <w:rPr>
          <w:rFonts w:hint="eastAsia" w:ascii="黑体" w:hAnsi="黑体" w:eastAsia="黑体"/>
          <w:kern w:val="0"/>
          <w:sz w:val="30"/>
          <w:szCs w:val="30"/>
        </w:rPr>
      </w:pPr>
      <w:r>
        <w:rPr>
          <w:rFonts w:hint="eastAsia" w:ascii="黑体" w:hAnsi="黑体" w:eastAsia="黑体"/>
          <w:kern w:val="0"/>
          <w:sz w:val="30"/>
          <w:szCs w:val="30"/>
        </w:rPr>
        <w:t>三、培训内容</w:t>
      </w:r>
    </w:p>
    <w:p>
      <w:pPr>
        <w:spacing w:line="580" w:lineRule="exact"/>
        <w:ind w:firstLine="600" w:firstLineChars="200"/>
        <w:rPr>
          <w:rFonts w:hint="eastAsia" w:ascii="仿宋_GB2312" w:hAnsi="仿宋" w:eastAsia="仿宋_GB2312"/>
          <w:sz w:val="30"/>
          <w:szCs w:val="30"/>
        </w:rPr>
      </w:pPr>
      <w:r>
        <w:rPr>
          <w:rFonts w:hint="eastAsia" w:ascii="仿宋_GB2312" w:eastAsia="仿宋_GB2312"/>
          <w:sz w:val="30"/>
          <w:szCs w:val="30"/>
        </w:rPr>
        <w:t>培训内容分录播课程和直播课程，根据目标要求与主题，充分整合北京师范大学、武汉大学、河北师范大学、南宁师范大学、高校辅导员网络培训中心等高校思想政治工作队伍培训研修中心课程资源，</w:t>
      </w:r>
      <w:r>
        <w:rPr>
          <w:rFonts w:hint="eastAsia" w:ascii="仿宋_GB2312" w:hAnsi="仿宋" w:eastAsia="仿宋_GB2312"/>
          <w:sz w:val="30"/>
          <w:szCs w:val="30"/>
        </w:rPr>
        <w:t>设置“价值引领与思想引导”“生涯规划与就业指导”“学业指导与班级管理”“心理调适与健康维护”“日常事务教育管理”“疫情防控知识”六大模块，课程详见表</w:t>
      </w:r>
      <w:r>
        <w:rPr>
          <w:rFonts w:eastAsia="仿宋_GB2312"/>
          <w:sz w:val="30"/>
          <w:szCs w:val="30"/>
        </w:rPr>
        <w:t>1、2</w:t>
      </w:r>
      <w:r>
        <w:rPr>
          <w:rFonts w:hint="eastAsia" w:ascii="仿宋_GB2312" w:hAnsi="仿宋" w:eastAsia="仿宋_GB2312"/>
          <w:sz w:val="30"/>
          <w:szCs w:val="30"/>
        </w:rPr>
        <w:t>：</w:t>
      </w:r>
    </w:p>
    <w:p>
      <w:pPr>
        <w:spacing w:line="360" w:lineRule="auto"/>
        <w:ind w:firstLine="482" w:firstLineChars="200"/>
        <w:jc w:val="center"/>
        <w:rPr>
          <w:rFonts w:hint="eastAsia" w:ascii="仿宋" w:hAnsi="仿宋" w:eastAsia="仿宋"/>
          <w:b/>
          <w:bCs/>
          <w:color w:val="000000"/>
          <w:sz w:val="24"/>
        </w:rPr>
      </w:pPr>
      <w:r>
        <w:rPr>
          <w:rFonts w:hint="eastAsia" w:ascii="仿宋" w:hAnsi="仿宋" w:eastAsia="仿宋"/>
          <w:b/>
          <w:bCs/>
          <w:color w:val="000000"/>
          <w:sz w:val="24"/>
        </w:rPr>
        <w:t>表1</w:t>
      </w:r>
      <w:r>
        <w:rPr>
          <w:rFonts w:ascii="仿宋" w:hAnsi="仿宋" w:eastAsia="仿宋"/>
          <w:b/>
          <w:bCs/>
          <w:color w:val="000000"/>
          <w:sz w:val="24"/>
        </w:rPr>
        <w:t xml:space="preserve"> </w:t>
      </w:r>
      <w:r>
        <w:rPr>
          <w:rFonts w:hint="eastAsia" w:ascii="仿宋" w:hAnsi="仿宋" w:eastAsia="仿宋"/>
          <w:b/>
          <w:bCs/>
          <w:color w:val="000000"/>
          <w:sz w:val="24"/>
        </w:rPr>
        <w:t>录播课程列表</w:t>
      </w:r>
    </w:p>
    <w:tbl>
      <w:tblPr>
        <w:tblStyle w:val="4"/>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0"/>
        <w:gridCol w:w="15"/>
        <w:gridCol w:w="14"/>
        <w:gridCol w:w="100"/>
        <w:gridCol w:w="864"/>
        <w:gridCol w:w="14"/>
        <w:gridCol w:w="15"/>
        <w:gridCol w:w="14"/>
        <w:gridCol w:w="88"/>
        <w:gridCol w:w="2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507" w:type="dxa"/>
            <w:gridSpan w:val="10"/>
            <w:noWrap/>
            <w:vAlign w:val="center"/>
          </w:tcPr>
          <w:p>
            <w:pPr>
              <w:widowControl/>
              <w:jc w:val="center"/>
              <w:rPr>
                <w:rFonts w:hint="eastAsia" w:ascii="仿宋" w:hAnsi="仿宋" w:eastAsia="仿宋" w:cs="宋体"/>
                <w:b/>
                <w:bCs/>
                <w:color w:val="000000"/>
                <w:kern w:val="0"/>
                <w:sz w:val="24"/>
              </w:rPr>
            </w:pPr>
            <w:r>
              <w:rPr>
                <w:rFonts w:hint="eastAsia" w:ascii="黑体" w:hAnsi="黑体" w:eastAsia="黑体" w:cs="宋体"/>
                <w:color w:val="000000"/>
                <w:kern w:val="0"/>
                <w:sz w:val="24"/>
              </w:rPr>
              <w:t>（一）价值引领与思想引导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50" w:type="dxa"/>
            <w:noWrap w:val="0"/>
            <w:vAlign w:val="center"/>
          </w:tcPr>
          <w:p>
            <w:pPr>
              <w:jc w:val="center"/>
              <w:rPr>
                <w:rFonts w:hint="eastAsia" w:ascii="仿宋_GB2312" w:hAnsi="仿宋" w:eastAsia="仿宋_GB2312"/>
                <w:sz w:val="24"/>
              </w:rPr>
            </w:pPr>
            <w:r>
              <w:rPr>
                <w:rFonts w:hint="eastAsia" w:ascii="仿宋_GB2312" w:hAnsi="仿宋" w:eastAsia="仿宋_GB2312" w:cs="宋体"/>
                <w:b/>
                <w:bCs/>
                <w:color w:val="000000"/>
                <w:kern w:val="0"/>
                <w:sz w:val="24"/>
              </w:rPr>
              <w:t>课程名称</w:t>
            </w:r>
          </w:p>
        </w:tc>
        <w:tc>
          <w:tcPr>
            <w:tcW w:w="1036" w:type="dxa"/>
            <w:gridSpan w:val="7"/>
            <w:noWrap w:val="0"/>
            <w:vAlign w:val="center"/>
          </w:tcPr>
          <w:p>
            <w:pPr>
              <w:jc w:val="center"/>
              <w:rPr>
                <w:rFonts w:hint="eastAsia" w:ascii="仿宋_GB2312" w:hAnsi="仿宋" w:eastAsia="仿宋_GB2312"/>
                <w:sz w:val="24"/>
              </w:rPr>
            </w:pPr>
            <w:r>
              <w:rPr>
                <w:rFonts w:hint="eastAsia" w:ascii="仿宋_GB2312" w:hAnsi="仿宋" w:eastAsia="仿宋_GB2312" w:cs="宋体"/>
                <w:b/>
                <w:bCs/>
                <w:color w:val="000000"/>
                <w:kern w:val="0"/>
                <w:sz w:val="24"/>
              </w:rPr>
              <w:t>主讲人</w:t>
            </w:r>
          </w:p>
        </w:tc>
        <w:tc>
          <w:tcPr>
            <w:tcW w:w="2921" w:type="dxa"/>
            <w:gridSpan w:val="2"/>
            <w:noWrap w:val="0"/>
            <w:vAlign w:val="center"/>
          </w:tcPr>
          <w:p>
            <w:pPr>
              <w:rPr>
                <w:rFonts w:hint="eastAsia" w:ascii="仿宋_GB2312" w:hAnsi="仿宋" w:eastAsia="仿宋_GB2312"/>
                <w:sz w:val="24"/>
              </w:rPr>
            </w:pPr>
            <w:r>
              <w:rPr>
                <w:rFonts w:hint="eastAsia" w:ascii="仿宋_GB2312" w:hAnsi="仿宋" w:eastAsia="仿宋_GB2312" w:cs="宋体"/>
                <w:b/>
                <w:bCs/>
                <w:color w:val="000000"/>
                <w:kern w:val="0"/>
                <w:sz w:val="24"/>
              </w:rPr>
              <w:t>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50" w:type="dxa"/>
            <w:noWrap w:val="0"/>
            <w:vAlign w:val="center"/>
          </w:tcPr>
          <w:p>
            <w:pPr>
              <w:rPr>
                <w:rFonts w:hint="eastAsia" w:ascii="仿宋_GB2312" w:hAnsi="仿宋" w:eastAsia="仿宋_GB2312"/>
                <w:sz w:val="24"/>
              </w:rPr>
            </w:pPr>
            <w:r>
              <w:rPr>
                <w:rFonts w:hint="eastAsia" w:ascii="仿宋_GB2312" w:hAnsi="仿宋" w:eastAsia="仿宋_GB2312"/>
                <w:sz w:val="24"/>
              </w:rPr>
              <w:t>新时代青年学生思想的有效引领</w:t>
            </w:r>
          </w:p>
        </w:tc>
        <w:tc>
          <w:tcPr>
            <w:tcW w:w="1036" w:type="dxa"/>
            <w:gridSpan w:val="7"/>
            <w:noWrap w:val="0"/>
            <w:vAlign w:val="center"/>
          </w:tcPr>
          <w:p>
            <w:pPr>
              <w:jc w:val="center"/>
              <w:rPr>
                <w:rFonts w:hint="eastAsia" w:ascii="仿宋_GB2312" w:hAnsi="仿宋" w:eastAsia="仿宋_GB2312"/>
                <w:sz w:val="24"/>
              </w:rPr>
            </w:pPr>
            <w:r>
              <w:rPr>
                <w:rFonts w:hint="eastAsia" w:ascii="仿宋_GB2312" w:hAnsi="仿宋" w:eastAsia="仿宋_GB2312"/>
                <w:sz w:val="24"/>
              </w:rPr>
              <w:t>骆郁廷</w:t>
            </w:r>
          </w:p>
        </w:tc>
        <w:tc>
          <w:tcPr>
            <w:tcW w:w="2921"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武汉大学教授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50" w:type="dxa"/>
            <w:noWrap w:val="0"/>
            <w:vAlign w:val="center"/>
          </w:tcPr>
          <w:p>
            <w:pPr>
              <w:rPr>
                <w:rFonts w:hint="eastAsia" w:ascii="仿宋_GB2312" w:hAnsi="仿宋" w:eastAsia="仿宋_GB2312"/>
                <w:sz w:val="24"/>
              </w:rPr>
            </w:pPr>
            <w:r>
              <w:rPr>
                <w:rFonts w:hint="eastAsia" w:ascii="仿宋_GB2312" w:hAnsi="仿宋" w:eastAsia="仿宋_GB2312"/>
                <w:sz w:val="24"/>
              </w:rPr>
              <w:t>如何从国际角度看中国战“疫”</w:t>
            </w:r>
          </w:p>
        </w:tc>
        <w:tc>
          <w:tcPr>
            <w:tcW w:w="1036" w:type="dxa"/>
            <w:gridSpan w:val="7"/>
            <w:noWrap w:val="0"/>
            <w:vAlign w:val="center"/>
          </w:tcPr>
          <w:p>
            <w:pPr>
              <w:jc w:val="center"/>
              <w:rPr>
                <w:rFonts w:hint="eastAsia" w:ascii="仿宋_GB2312" w:hAnsi="仿宋" w:eastAsia="仿宋_GB2312"/>
                <w:sz w:val="24"/>
              </w:rPr>
            </w:pPr>
            <w:r>
              <w:rPr>
                <w:rFonts w:hint="eastAsia" w:ascii="仿宋_GB2312" w:hAnsi="仿宋" w:eastAsia="仿宋_GB2312"/>
                <w:sz w:val="24"/>
              </w:rPr>
              <w:t>金灿荣</w:t>
            </w:r>
          </w:p>
        </w:tc>
        <w:tc>
          <w:tcPr>
            <w:tcW w:w="2921"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中国人民大学教授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50" w:type="dxa"/>
            <w:noWrap w:val="0"/>
            <w:vAlign w:val="center"/>
          </w:tcPr>
          <w:p>
            <w:pPr>
              <w:rPr>
                <w:rFonts w:hint="eastAsia" w:ascii="仿宋_GB2312" w:hAnsi="仿宋" w:eastAsia="仿宋_GB2312"/>
                <w:sz w:val="24"/>
              </w:rPr>
            </w:pPr>
            <w:r>
              <w:rPr>
                <w:rFonts w:hint="eastAsia" w:ascii="仿宋_GB2312" w:hAnsi="仿宋" w:eastAsia="仿宋_GB2312"/>
                <w:sz w:val="24"/>
              </w:rPr>
              <w:t>致敬教育系统最美逆行者</w:t>
            </w:r>
          </w:p>
        </w:tc>
        <w:tc>
          <w:tcPr>
            <w:tcW w:w="1036" w:type="dxa"/>
            <w:gridSpan w:val="7"/>
            <w:noWrap w:val="0"/>
            <w:vAlign w:val="center"/>
          </w:tcPr>
          <w:p>
            <w:pPr>
              <w:jc w:val="center"/>
              <w:rPr>
                <w:rFonts w:hint="eastAsia" w:ascii="仿宋_GB2312" w:hAnsi="仿宋" w:eastAsia="仿宋_GB2312"/>
                <w:sz w:val="24"/>
              </w:rPr>
            </w:pPr>
            <w:r>
              <w:rPr>
                <w:rFonts w:hint="eastAsia" w:ascii="仿宋_GB2312" w:hAnsi="仿宋" w:eastAsia="仿宋_GB2312"/>
                <w:sz w:val="24"/>
              </w:rPr>
              <w:t>康  震</w:t>
            </w:r>
          </w:p>
        </w:tc>
        <w:tc>
          <w:tcPr>
            <w:tcW w:w="2921"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北京师范大学教授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50" w:type="dxa"/>
            <w:noWrap w:val="0"/>
            <w:vAlign w:val="center"/>
          </w:tcPr>
          <w:p>
            <w:pPr>
              <w:rPr>
                <w:rFonts w:hint="eastAsia" w:ascii="仿宋_GB2312" w:hAnsi="仿宋" w:eastAsia="仿宋_GB2312"/>
                <w:sz w:val="24"/>
              </w:rPr>
            </w:pPr>
            <w:r>
              <w:rPr>
                <w:rFonts w:hint="eastAsia" w:ascii="仿宋_GB2312" w:hAnsi="仿宋" w:eastAsia="仿宋_GB2312"/>
                <w:sz w:val="24"/>
              </w:rPr>
              <w:t>战“疫”如何彰显中国制度优势和治理优势</w:t>
            </w:r>
          </w:p>
        </w:tc>
        <w:tc>
          <w:tcPr>
            <w:tcW w:w="1036" w:type="dxa"/>
            <w:gridSpan w:val="7"/>
            <w:noWrap w:val="0"/>
            <w:vAlign w:val="center"/>
          </w:tcPr>
          <w:p>
            <w:pPr>
              <w:jc w:val="center"/>
              <w:rPr>
                <w:rFonts w:hint="eastAsia" w:ascii="仿宋_GB2312" w:hAnsi="仿宋" w:eastAsia="仿宋_GB2312"/>
                <w:sz w:val="24"/>
              </w:rPr>
            </w:pPr>
            <w:r>
              <w:rPr>
                <w:rFonts w:hint="eastAsia" w:ascii="仿宋_GB2312" w:hAnsi="仿宋" w:eastAsia="仿宋_GB2312"/>
                <w:sz w:val="24"/>
              </w:rPr>
              <w:t>颜晓峰</w:t>
            </w:r>
          </w:p>
        </w:tc>
        <w:tc>
          <w:tcPr>
            <w:tcW w:w="2921"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天津大学教授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50" w:type="dxa"/>
            <w:noWrap w:val="0"/>
            <w:vAlign w:val="center"/>
          </w:tcPr>
          <w:p>
            <w:pPr>
              <w:rPr>
                <w:rFonts w:hint="eastAsia" w:ascii="仿宋_GB2312" w:hAnsi="仿宋" w:eastAsia="仿宋_GB2312"/>
                <w:sz w:val="24"/>
              </w:rPr>
            </w:pPr>
            <w:r>
              <w:rPr>
                <w:rFonts w:hint="eastAsia" w:ascii="仿宋_GB2312" w:hAnsi="仿宋" w:eastAsia="仿宋_GB2312"/>
                <w:sz w:val="24"/>
              </w:rPr>
              <w:t>逆境中如何培养奋斗精神和家国情怀</w:t>
            </w:r>
          </w:p>
        </w:tc>
        <w:tc>
          <w:tcPr>
            <w:tcW w:w="1036" w:type="dxa"/>
            <w:gridSpan w:val="7"/>
            <w:noWrap w:val="0"/>
            <w:vAlign w:val="center"/>
          </w:tcPr>
          <w:p>
            <w:pPr>
              <w:jc w:val="center"/>
              <w:rPr>
                <w:rFonts w:hint="eastAsia" w:ascii="仿宋_GB2312" w:hAnsi="仿宋" w:eastAsia="仿宋_GB2312"/>
                <w:sz w:val="24"/>
              </w:rPr>
            </w:pPr>
            <w:r>
              <w:rPr>
                <w:rFonts w:hint="eastAsia" w:ascii="仿宋_GB2312" w:hAnsi="仿宋" w:eastAsia="仿宋_GB2312"/>
                <w:sz w:val="24"/>
              </w:rPr>
              <w:t>陶文铨</w:t>
            </w:r>
          </w:p>
        </w:tc>
        <w:tc>
          <w:tcPr>
            <w:tcW w:w="2921"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西安交通大学教授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50" w:type="dxa"/>
            <w:noWrap w:val="0"/>
            <w:vAlign w:val="center"/>
          </w:tcPr>
          <w:p>
            <w:pPr>
              <w:rPr>
                <w:rFonts w:hint="eastAsia" w:ascii="仿宋_GB2312" w:hAnsi="仿宋" w:eastAsia="仿宋_GB2312"/>
                <w:sz w:val="24"/>
              </w:rPr>
            </w:pPr>
            <w:r>
              <w:rPr>
                <w:rFonts w:hint="eastAsia" w:ascii="仿宋_GB2312" w:hAnsi="仿宋" w:eastAsia="仿宋_GB2312"/>
                <w:sz w:val="24"/>
              </w:rPr>
              <w:t>让爱国主义旗帜始终在心中高高飘扬</w:t>
            </w:r>
          </w:p>
        </w:tc>
        <w:tc>
          <w:tcPr>
            <w:tcW w:w="1036" w:type="dxa"/>
            <w:gridSpan w:val="7"/>
            <w:noWrap w:val="0"/>
            <w:vAlign w:val="center"/>
          </w:tcPr>
          <w:p>
            <w:pPr>
              <w:jc w:val="center"/>
              <w:rPr>
                <w:rFonts w:hint="eastAsia" w:ascii="仿宋_GB2312" w:hAnsi="仿宋" w:eastAsia="仿宋_GB2312"/>
                <w:sz w:val="24"/>
              </w:rPr>
            </w:pPr>
            <w:r>
              <w:rPr>
                <w:rFonts w:hint="eastAsia" w:ascii="仿宋_GB2312" w:hAnsi="仿宋" w:eastAsia="仿宋_GB2312"/>
                <w:sz w:val="24"/>
              </w:rPr>
              <w:t>刘树宏</w:t>
            </w:r>
          </w:p>
        </w:tc>
        <w:tc>
          <w:tcPr>
            <w:tcW w:w="2921"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中央民族大学教授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50" w:type="dxa"/>
            <w:noWrap w:val="0"/>
            <w:vAlign w:val="center"/>
          </w:tcPr>
          <w:p>
            <w:pPr>
              <w:rPr>
                <w:rFonts w:hint="eastAsia" w:ascii="仿宋_GB2312" w:hAnsi="仿宋" w:eastAsia="仿宋_GB2312"/>
                <w:sz w:val="24"/>
              </w:rPr>
            </w:pPr>
            <w:r>
              <w:rPr>
                <w:rFonts w:hint="eastAsia" w:ascii="仿宋_GB2312" w:hAnsi="仿宋" w:eastAsia="仿宋_GB2312"/>
                <w:sz w:val="24"/>
              </w:rPr>
              <w:t>《新时代爱国主义教育实施纲要》解读</w:t>
            </w:r>
          </w:p>
        </w:tc>
        <w:tc>
          <w:tcPr>
            <w:tcW w:w="1036" w:type="dxa"/>
            <w:gridSpan w:val="7"/>
            <w:noWrap w:val="0"/>
            <w:vAlign w:val="center"/>
          </w:tcPr>
          <w:p>
            <w:pPr>
              <w:jc w:val="center"/>
              <w:rPr>
                <w:rFonts w:hint="eastAsia" w:ascii="仿宋_GB2312" w:hAnsi="仿宋" w:eastAsia="仿宋_GB2312"/>
                <w:sz w:val="24"/>
              </w:rPr>
            </w:pPr>
            <w:r>
              <w:rPr>
                <w:rFonts w:hint="eastAsia" w:ascii="仿宋_GB2312" w:hAnsi="仿宋" w:eastAsia="仿宋_GB2312"/>
                <w:sz w:val="24"/>
              </w:rPr>
              <w:t>黄  亮</w:t>
            </w:r>
          </w:p>
        </w:tc>
        <w:tc>
          <w:tcPr>
            <w:tcW w:w="2921"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中央团校副教授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507" w:type="dxa"/>
            <w:gridSpan w:val="10"/>
            <w:noWrap w:val="0"/>
            <w:vAlign w:val="center"/>
          </w:tcPr>
          <w:p>
            <w:pPr>
              <w:jc w:val="center"/>
              <w:rPr>
                <w:rFonts w:hint="eastAsia" w:ascii="仿宋" w:hAnsi="仿宋" w:eastAsia="仿宋"/>
                <w:sz w:val="24"/>
              </w:rPr>
            </w:pPr>
            <w:r>
              <w:rPr>
                <w:rFonts w:hint="eastAsia" w:ascii="黑体" w:hAnsi="黑体" w:eastAsia="黑体" w:cs="宋体"/>
                <w:color w:val="000000"/>
                <w:kern w:val="0"/>
                <w:sz w:val="24"/>
              </w:rPr>
              <w:t>（二）生涯规划与就业指导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创业政策解读</w:t>
            </w:r>
          </w:p>
        </w:tc>
        <w:tc>
          <w:tcPr>
            <w:tcW w:w="1007" w:type="dxa"/>
            <w:gridSpan w:val="5"/>
            <w:noWrap w:val="0"/>
            <w:vAlign w:val="center"/>
          </w:tcPr>
          <w:p>
            <w:pPr>
              <w:jc w:val="center"/>
              <w:rPr>
                <w:rFonts w:hint="eastAsia" w:ascii="仿宋_GB2312" w:hAnsi="仿宋" w:eastAsia="仿宋_GB2312"/>
                <w:sz w:val="24"/>
              </w:rPr>
            </w:pPr>
            <w:r>
              <w:rPr>
                <w:rFonts w:hint="eastAsia" w:ascii="仿宋_GB2312" w:hAnsi="仿宋" w:eastAsia="仿宋_GB2312"/>
                <w:sz w:val="24"/>
              </w:rPr>
              <w:t>徐  明</w:t>
            </w:r>
          </w:p>
        </w:tc>
        <w:tc>
          <w:tcPr>
            <w:tcW w:w="2935"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中国青年政治学院教授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加强思想政治教育，促进大学生就业</w:t>
            </w:r>
          </w:p>
        </w:tc>
        <w:tc>
          <w:tcPr>
            <w:tcW w:w="1007" w:type="dxa"/>
            <w:gridSpan w:val="5"/>
            <w:noWrap w:val="0"/>
            <w:vAlign w:val="center"/>
          </w:tcPr>
          <w:p>
            <w:pPr>
              <w:jc w:val="center"/>
              <w:rPr>
                <w:rFonts w:hint="eastAsia" w:ascii="仿宋_GB2312" w:hAnsi="仿宋" w:eastAsia="仿宋_GB2312"/>
                <w:sz w:val="24"/>
              </w:rPr>
            </w:pPr>
            <w:r>
              <w:rPr>
                <w:rFonts w:hint="eastAsia" w:ascii="仿宋_GB2312" w:hAnsi="仿宋" w:eastAsia="仿宋_GB2312"/>
                <w:sz w:val="24"/>
              </w:rPr>
              <w:t>赵放辉</w:t>
            </w:r>
          </w:p>
        </w:tc>
        <w:tc>
          <w:tcPr>
            <w:tcW w:w="2935"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中国石油大学（华东）研究员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大学生创新创业教育的实践与反思</w:t>
            </w:r>
          </w:p>
        </w:tc>
        <w:tc>
          <w:tcPr>
            <w:tcW w:w="1007" w:type="dxa"/>
            <w:gridSpan w:val="5"/>
            <w:noWrap w:val="0"/>
            <w:vAlign w:val="center"/>
          </w:tcPr>
          <w:p>
            <w:pPr>
              <w:jc w:val="center"/>
              <w:rPr>
                <w:rFonts w:hint="eastAsia" w:ascii="仿宋_GB2312" w:hAnsi="仿宋" w:eastAsia="仿宋_GB2312"/>
                <w:sz w:val="24"/>
              </w:rPr>
            </w:pPr>
            <w:r>
              <w:rPr>
                <w:rFonts w:hint="eastAsia" w:ascii="仿宋_GB2312" w:hAnsi="仿宋" w:eastAsia="仿宋_GB2312"/>
                <w:sz w:val="24"/>
              </w:rPr>
              <w:t>王占仁</w:t>
            </w:r>
          </w:p>
        </w:tc>
        <w:tc>
          <w:tcPr>
            <w:tcW w:w="2935"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东北师范大学教授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创新创业教育与协同育人的实践探索</w:t>
            </w:r>
          </w:p>
        </w:tc>
        <w:tc>
          <w:tcPr>
            <w:tcW w:w="1007" w:type="dxa"/>
            <w:gridSpan w:val="5"/>
            <w:noWrap w:val="0"/>
            <w:vAlign w:val="center"/>
          </w:tcPr>
          <w:p>
            <w:pPr>
              <w:jc w:val="center"/>
              <w:rPr>
                <w:rFonts w:hint="eastAsia" w:ascii="仿宋_GB2312" w:hAnsi="仿宋" w:eastAsia="仿宋_GB2312"/>
                <w:sz w:val="24"/>
              </w:rPr>
            </w:pPr>
            <w:r>
              <w:rPr>
                <w:rFonts w:hint="eastAsia" w:ascii="仿宋_GB2312" w:hAnsi="仿宋" w:eastAsia="仿宋_GB2312"/>
                <w:sz w:val="24"/>
              </w:rPr>
              <w:t>马连湘</w:t>
            </w:r>
          </w:p>
        </w:tc>
        <w:tc>
          <w:tcPr>
            <w:tcW w:w="2935"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青岛科技大学教授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陪伴学生走过从梦想到现实的最后一公里</w:t>
            </w:r>
          </w:p>
        </w:tc>
        <w:tc>
          <w:tcPr>
            <w:tcW w:w="1007" w:type="dxa"/>
            <w:gridSpan w:val="5"/>
            <w:noWrap w:val="0"/>
            <w:vAlign w:val="center"/>
          </w:tcPr>
          <w:p>
            <w:pPr>
              <w:jc w:val="center"/>
              <w:rPr>
                <w:rFonts w:hint="eastAsia" w:ascii="仿宋_GB2312" w:hAnsi="仿宋" w:eastAsia="仿宋_GB2312"/>
                <w:sz w:val="24"/>
              </w:rPr>
            </w:pPr>
            <w:r>
              <w:rPr>
                <w:rFonts w:hint="eastAsia" w:ascii="仿宋_GB2312" w:hAnsi="仿宋" w:eastAsia="仿宋_GB2312"/>
                <w:sz w:val="24"/>
              </w:rPr>
              <w:t>徐建平</w:t>
            </w:r>
          </w:p>
        </w:tc>
        <w:tc>
          <w:tcPr>
            <w:tcW w:w="2935"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同济大学教授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学校如何服务毕业生就业创业</w:t>
            </w:r>
          </w:p>
        </w:tc>
        <w:tc>
          <w:tcPr>
            <w:tcW w:w="1007" w:type="dxa"/>
            <w:gridSpan w:val="5"/>
            <w:noWrap w:val="0"/>
            <w:vAlign w:val="center"/>
          </w:tcPr>
          <w:p>
            <w:pPr>
              <w:jc w:val="center"/>
              <w:rPr>
                <w:rFonts w:hint="eastAsia" w:ascii="仿宋_GB2312" w:hAnsi="仿宋" w:eastAsia="仿宋_GB2312"/>
                <w:sz w:val="24"/>
              </w:rPr>
            </w:pPr>
            <w:r>
              <w:rPr>
                <w:rFonts w:hint="eastAsia" w:ascii="仿宋_GB2312" w:hAnsi="仿宋" w:eastAsia="仿宋_GB2312"/>
                <w:sz w:val="24"/>
              </w:rPr>
              <w:t>朱  庆</w:t>
            </w:r>
          </w:p>
        </w:tc>
        <w:tc>
          <w:tcPr>
            <w:tcW w:w="2935"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对外经济贸易大学招生就业处副处长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507" w:type="dxa"/>
            <w:gridSpan w:val="10"/>
            <w:noWrap w:val="0"/>
            <w:vAlign w:val="center"/>
          </w:tcPr>
          <w:p>
            <w:pPr>
              <w:jc w:val="center"/>
              <w:rPr>
                <w:rFonts w:hint="eastAsia" w:ascii="仿宋" w:hAnsi="仿宋" w:eastAsia="仿宋"/>
                <w:sz w:val="24"/>
              </w:rPr>
            </w:pPr>
            <w:r>
              <w:rPr>
                <w:rFonts w:hint="eastAsia" w:ascii="黑体" w:hAnsi="黑体" w:eastAsia="黑体" w:cs="宋体"/>
                <w:color w:val="000000"/>
                <w:kern w:val="0"/>
                <w:sz w:val="24"/>
              </w:rPr>
              <w:t>（三）学业指导与班级管理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学情分析类工具</w:t>
            </w:r>
          </w:p>
        </w:tc>
        <w:tc>
          <w:tcPr>
            <w:tcW w:w="993" w:type="dxa"/>
            <w:gridSpan w:val="4"/>
            <w:noWrap/>
            <w:vAlign w:val="center"/>
          </w:tcPr>
          <w:p>
            <w:pPr>
              <w:jc w:val="center"/>
              <w:rPr>
                <w:rFonts w:hint="eastAsia" w:ascii="仿宋_GB2312" w:hAnsi="仿宋" w:eastAsia="仿宋_GB2312"/>
                <w:sz w:val="24"/>
              </w:rPr>
            </w:pPr>
            <w:r>
              <w:rPr>
                <w:rFonts w:hint="eastAsia" w:ascii="仿宋_GB2312" w:hAnsi="仿宋" w:eastAsia="仿宋_GB2312"/>
                <w:sz w:val="24"/>
              </w:rPr>
              <w:t>武法提</w:t>
            </w:r>
          </w:p>
        </w:tc>
        <w:tc>
          <w:tcPr>
            <w:tcW w:w="2935"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北京师范大学教授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在线学习的困难与学习支持服务</w:t>
            </w:r>
          </w:p>
        </w:tc>
        <w:tc>
          <w:tcPr>
            <w:tcW w:w="993" w:type="dxa"/>
            <w:gridSpan w:val="4"/>
            <w:noWrap/>
            <w:vAlign w:val="center"/>
          </w:tcPr>
          <w:p>
            <w:pPr>
              <w:jc w:val="center"/>
              <w:rPr>
                <w:rFonts w:hint="eastAsia" w:ascii="仿宋_GB2312" w:hAnsi="仿宋" w:eastAsia="仿宋_GB2312"/>
                <w:sz w:val="24"/>
              </w:rPr>
            </w:pPr>
            <w:r>
              <w:rPr>
                <w:rFonts w:hint="eastAsia" w:ascii="仿宋_GB2312" w:hAnsi="仿宋" w:eastAsia="仿宋_GB2312"/>
                <w:sz w:val="24"/>
              </w:rPr>
              <w:t>李  爽</w:t>
            </w:r>
          </w:p>
        </w:tc>
        <w:tc>
          <w:tcPr>
            <w:tcW w:w="2935"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北京师范大学副教授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数字时代的零存整取式学习</w:t>
            </w:r>
          </w:p>
        </w:tc>
        <w:tc>
          <w:tcPr>
            <w:tcW w:w="993" w:type="dxa"/>
            <w:gridSpan w:val="4"/>
            <w:noWrap/>
            <w:vAlign w:val="center"/>
          </w:tcPr>
          <w:p>
            <w:pPr>
              <w:jc w:val="center"/>
              <w:rPr>
                <w:rFonts w:hint="eastAsia" w:ascii="仿宋_GB2312" w:hAnsi="仿宋" w:eastAsia="仿宋_GB2312"/>
                <w:sz w:val="24"/>
              </w:rPr>
            </w:pPr>
            <w:r>
              <w:rPr>
                <w:rFonts w:hint="eastAsia" w:ascii="仿宋_GB2312" w:hAnsi="仿宋" w:eastAsia="仿宋_GB2312"/>
                <w:sz w:val="24"/>
              </w:rPr>
              <w:t>王竹立</w:t>
            </w:r>
          </w:p>
        </w:tc>
        <w:tc>
          <w:tcPr>
            <w:tcW w:w="2935"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中山大学副教授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优良班风是怎样建成的——将核心价值观教育落细落小落实的实验</w:t>
            </w:r>
          </w:p>
        </w:tc>
        <w:tc>
          <w:tcPr>
            <w:tcW w:w="993" w:type="dxa"/>
            <w:gridSpan w:val="4"/>
            <w:noWrap/>
            <w:vAlign w:val="center"/>
          </w:tcPr>
          <w:p>
            <w:pPr>
              <w:jc w:val="center"/>
              <w:rPr>
                <w:rFonts w:hint="eastAsia" w:ascii="仿宋_GB2312" w:hAnsi="仿宋" w:eastAsia="仿宋_GB2312"/>
                <w:sz w:val="24"/>
              </w:rPr>
            </w:pPr>
            <w:r>
              <w:rPr>
                <w:rFonts w:hint="eastAsia" w:ascii="仿宋_GB2312" w:hAnsi="仿宋" w:eastAsia="仿宋_GB2312"/>
                <w:sz w:val="24"/>
              </w:rPr>
              <w:t>朱  平</w:t>
            </w:r>
          </w:p>
        </w:tc>
        <w:tc>
          <w:tcPr>
            <w:tcW w:w="2935"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安徽师范大学教授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主题班会育人功能的案例实践与思考</w:t>
            </w:r>
          </w:p>
        </w:tc>
        <w:tc>
          <w:tcPr>
            <w:tcW w:w="993" w:type="dxa"/>
            <w:gridSpan w:val="4"/>
            <w:noWrap w:val="0"/>
            <w:vAlign w:val="center"/>
          </w:tcPr>
          <w:p>
            <w:pPr>
              <w:jc w:val="center"/>
              <w:rPr>
                <w:rFonts w:hint="eastAsia" w:ascii="仿宋_GB2312" w:hAnsi="仿宋" w:eastAsia="仿宋_GB2312"/>
                <w:sz w:val="24"/>
              </w:rPr>
            </w:pPr>
            <w:r>
              <w:rPr>
                <w:rFonts w:hint="eastAsia" w:ascii="仿宋_GB2312" w:hAnsi="仿宋" w:eastAsia="仿宋_GB2312"/>
                <w:sz w:val="24"/>
              </w:rPr>
              <w:t>胡海霞</w:t>
            </w:r>
          </w:p>
        </w:tc>
        <w:tc>
          <w:tcPr>
            <w:tcW w:w="2935"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河北师范大学辅导员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507" w:type="dxa"/>
            <w:gridSpan w:val="10"/>
            <w:noWrap w:val="0"/>
            <w:vAlign w:val="center"/>
          </w:tcPr>
          <w:p>
            <w:pPr>
              <w:jc w:val="center"/>
              <w:rPr>
                <w:rFonts w:hint="eastAsia" w:ascii="仿宋" w:hAnsi="仿宋" w:eastAsia="仿宋"/>
                <w:sz w:val="24"/>
              </w:rPr>
            </w:pPr>
            <w:r>
              <w:rPr>
                <w:rFonts w:hint="eastAsia" w:ascii="黑体" w:hAnsi="黑体" w:eastAsia="黑体" w:cs="宋体"/>
                <w:color w:val="000000"/>
                <w:kern w:val="0"/>
                <w:sz w:val="24"/>
              </w:rPr>
              <w:t>（四）心理调适与健康维护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压力纾解的有效方法</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樊富珉</w:t>
            </w:r>
          </w:p>
        </w:tc>
        <w:tc>
          <w:tcPr>
            <w:tcW w:w="2950"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清华大学教授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如何寻找心理帮助</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桑志芹</w:t>
            </w:r>
          </w:p>
        </w:tc>
        <w:tc>
          <w:tcPr>
            <w:tcW w:w="2950"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南京大学教授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防疫隔离和污名化对公众心理的影响</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甘怡群</w:t>
            </w:r>
          </w:p>
        </w:tc>
        <w:tc>
          <w:tcPr>
            <w:tcW w:w="2950"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北京大学教授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疫情期间大学生家庭关系问题的有效应对</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蔺秀云</w:t>
            </w:r>
          </w:p>
        </w:tc>
        <w:tc>
          <w:tcPr>
            <w:tcW w:w="2950"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北京师范大学教授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疫情中大学生常见的心理问题及应对</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马喜亭</w:t>
            </w:r>
          </w:p>
        </w:tc>
        <w:tc>
          <w:tcPr>
            <w:tcW w:w="2950"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北京航空航天大学教授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突发灾难事件后个体与群体的心理特征与应对</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刘正奎</w:t>
            </w:r>
          </w:p>
        </w:tc>
        <w:tc>
          <w:tcPr>
            <w:tcW w:w="2950"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中国科学院心理研究所教授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疫情面前如何克服无助感</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贾晓明</w:t>
            </w:r>
          </w:p>
        </w:tc>
        <w:tc>
          <w:tcPr>
            <w:tcW w:w="2950"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北京理工大学教授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疫情防控工作中如何用沟通进行情绪疏导</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宋振韶</w:t>
            </w:r>
          </w:p>
        </w:tc>
        <w:tc>
          <w:tcPr>
            <w:tcW w:w="2950"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北京师范大学副研究员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哪些人需要在疫情期间接受心理咨询专业服务</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钟  杰</w:t>
            </w:r>
          </w:p>
        </w:tc>
        <w:tc>
          <w:tcPr>
            <w:tcW w:w="2950"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北京大学副教授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79" w:type="dxa"/>
            <w:gridSpan w:val="3"/>
            <w:noWrap w:val="0"/>
            <w:vAlign w:val="center"/>
          </w:tcPr>
          <w:p>
            <w:pPr>
              <w:rPr>
                <w:rFonts w:hint="eastAsia" w:ascii="仿宋_GB2312" w:hAnsi="仿宋" w:eastAsia="仿宋_GB2312"/>
                <w:sz w:val="24"/>
              </w:rPr>
            </w:pPr>
            <w:r>
              <w:rPr>
                <w:rFonts w:hint="eastAsia" w:ascii="仿宋_GB2312" w:hAnsi="仿宋" w:eastAsia="仿宋_GB2312"/>
                <w:sz w:val="24"/>
              </w:rPr>
              <w:t>疫情期间辅导员的情绪压力管理</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王东升</w:t>
            </w:r>
          </w:p>
        </w:tc>
        <w:tc>
          <w:tcPr>
            <w:tcW w:w="2950"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北京师范大学副研究员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507" w:type="dxa"/>
            <w:gridSpan w:val="10"/>
            <w:noWrap w:val="0"/>
            <w:vAlign w:val="center"/>
          </w:tcPr>
          <w:p>
            <w:pPr>
              <w:jc w:val="center"/>
              <w:rPr>
                <w:rFonts w:hint="eastAsia" w:ascii="黑体" w:hAnsi="黑体" w:eastAsia="黑体" w:cs="宋体"/>
                <w:color w:val="000000"/>
                <w:kern w:val="0"/>
                <w:sz w:val="24"/>
              </w:rPr>
            </w:pPr>
            <w:r>
              <w:rPr>
                <w:rFonts w:hint="eastAsia" w:ascii="黑体" w:hAnsi="黑体" w:eastAsia="黑体" w:cs="宋体"/>
                <w:color w:val="000000"/>
                <w:kern w:val="0"/>
                <w:sz w:val="24"/>
              </w:rPr>
              <w:t>（五）日常事务教育管理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网络是大学生思想政治教育的重要阵地系列微课</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肖铁岩</w:t>
            </w:r>
          </w:p>
        </w:tc>
        <w:tc>
          <w:tcPr>
            <w:tcW w:w="2964" w:type="dxa"/>
            <w:gridSpan w:val="5"/>
            <w:noWrap w:val="0"/>
            <w:vAlign w:val="center"/>
          </w:tcPr>
          <w:p>
            <w:pPr>
              <w:rPr>
                <w:rFonts w:hint="eastAsia" w:ascii="仿宋_GB2312" w:hAnsi="仿宋" w:eastAsia="仿宋_GB2312"/>
                <w:sz w:val="24"/>
              </w:rPr>
            </w:pPr>
            <w:r>
              <w:rPr>
                <w:rFonts w:hint="eastAsia" w:ascii="仿宋_GB2312" w:hAnsi="仿宋" w:eastAsia="仿宋_GB2312"/>
                <w:sz w:val="24"/>
              </w:rPr>
              <w:t>重庆大学教授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高校辅导员工作理论与实务</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唐文红</w:t>
            </w:r>
          </w:p>
        </w:tc>
        <w:tc>
          <w:tcPr>
            <w:tcW w:w="2964" w:type="dxa"/>
            <w:gridSpan w:val="5"/>
            <w:noWrap w:val="0"/>
            <w:vAlign w:val="center"/>
          </w:tcPr>
          <w:p>
            <w:pPr>
              <w:rPr>
                <w:rFonts w:hint="eastAsia" w:ascii="仿宋_GB2312" w:hAnsi="仿宋" w:eastAsia="仿宋_GB2312"/>
                <w:sz w:val="24"/>
              </w:rPr>
            </w:pPr>
            <w:r>
              <w:rPr>
                <w:rFonts w:hint="eastAsia" w:ascii="仿宋_GB2312" w:hAnsi="仿宋" w:eastAsia="仿宋_GB2312"/>
                <w:sz w:val="24"/>
              </w:rPr>
              <w:t>南宁师范大学教授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新时代高校辅导员网络育人工作实践探索</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祝  鑫</w:t>
            </w:r>
          </w:p>
        </w:tc>
        <w:tc>
          <w:tcPr>
            <w:tcW w:w="2964" w:type="dxa"/>
            <w:gridSpan w:val="5"/>
            <w:noWrap w:val="0"/>
            <w:vAlign w:val="center"/>
          </w:tcPr>
          <w:p>
            <w:pPr>
              <w:rPr>
                <w:rFonts w:hint="eastAsia" w:ascii="仿宋_GB2312" w:hAnsi="仿宋" w:eastAsia="仿宋_GB2312"/>
                <w:sz w:val="24"/>
              </w:rPr>
            </w:pPr>
            <w:r>
              <w:rPr>
                <w:rFonts w:hint="eastAsia" w:ascii="仿宋_GB2312" w:hAnsi="仿宋" w:eastAsia="仿宋_GB2312"/>
                <w:sz w:val="24"/>
              </w:rPr>
              <w:t>华中农业大学辅导员，第十届全国辅导员年度人物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“望闻问切”四步法在辅导员谈心谈话中的应用</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李青山</w:t>
            </w:r>
          </w:p>
        </w:tc>
        <w:tc>
          <w:tcPr>
            <w:tcW w:w="2964" w:type="dxa"/>
            <w:gridSpan w:val="5"/>
            <w:noWrap w:val="0"/>
            <w:vAlign w:val="center"/>
          </w:tcPr>
          <w:p>
            <w:pPr>
              <w:rPr>
                <w:rFonts w:hint="eastAsia" w:ascii="仿宋_GB2312" w:hAnsi="仿宋" w:eastAsia="仿宋_GB2312"/>
                <w:sz w:val="24"/>
              </w:rPr>
            </w:pPr>
            <w:r>
              <w:rPr>
                <w:rFonts w:hint="eastAsia" w:ascii="仿宋_GB2312" w:hAnsi="仿宋" w:eastAsia="仿宋_GB2312"/>
                <w:sz w:val="24"/>
              </w:rPr>
              <w:t>沈阳工业大学辅导员，第十届全国辅导员年度人物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走进学生心里，让思想政治教育润物无声</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袁世平</w:t>
            </w:r>
          </w:p>
        </w:tc>
        <w:tc>
          <w:tcPr>
            <w:tcW w:w="2964" w:type="dxa"/>
            <w:gridSpan w:val="5"/>
            <w:noWrap w:val="0"/>
            <w:vAlign w:val="center"/>
          </w:tcPr>
          <w:p>
            <w:pPr>
              <w:rPr>
                <w:rFonts w:hint="eastAsia" w:ascii="仿宋_GB2312" w:hAnsi="仿宋" w:eastAsia="仿宋_GB2312"/>
                <w:sz w:val="24"/>
              </w:rPr>
            </w:pPr>
            <w:r>
              <w:rPr>
                <w:rFonts w:hint="eastAsia" w:ascii="仿宋_GB2312" w:hAnsi="仿宋" w:eastAsia="仿宋_GB2312"/>
                <w:sz w:val="24"/>
              </w:rPr>
              <w:t>中南大学辅导员，第十届辅导员年度人物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noWrap w:val="0"/>
            <w:vAlign w:val="center"/>
          </w:tcPr>
          <w:p>
            <w:pPr>
              <w:rPr>
                <w:rFonts w:hint="eastAsia" w:ascii="仿宋_GB2312" w:hAnsi="仿宋" w:eastAsia="仿宋_GB2312"/>
                <w:sz w:val="24"/>
              </w:rPr>
            </w:pPr>
            <w:r>
              <w:rPr>
                <w:rFonts w:hint="eastAsia" w:ascii="仿宋_GB2312" w:hAnsi="仿宋" w:eastAsia="仿宋_GB2312"/>
                <w:sz w:val="24"/>
              </w:rPr>
              <w:t>辅导员开展情感教育的实践探索</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范  蕊</w:t>
            </w:r>
          </w:p>
        </w:tc>
        <w:tc>
          <w:tcPr>
            <w:tcW w:w="2964" w:type="dxa"/>
            <w:gridSpan w:val="5"/>
            <w:noWrap w:val="0"/>
            <w:vAlign w:val="center"/>
          </w:tcPr>
          <w:p>
            <w:pPr>
              <w:rPr>
                <w:rFonts w:hint="eastAsia" w:ascii="仿宋_GB2312" w:hAnsi="仿宋" w:eastAsia="仿宋_GB2312"/>
                <w:sz w:val="24"/>
              </w:rPr>
            </w:pPr>
            <w:r>
              <w:rPr>
                <w:rFonts w:hint="eastAsia" w:ascii="仿宋_GB2312" w:hAnsi="仿宋" w:eastAsia="仿宋_GB2312"/>
                <w:sz w:val="24"/>
              </w:rPr>
              <w:t>山东大学辅导员，第九届全国辅导员年度人物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vMerge w:val="restart"/>
            <w:noWrap w:val="0"/>
            <w:vAlign w:val="center"/>
          </w:tcPr>
          <w:p>
            <w:pPr>
              <w:rPr>
                <w:rFonts w:hint="eastAsia" w:ascii="仿宋_GB2312" w:hAnsi="仿宋" w:eastAsia="仿宋_GB2312"/>
                <w:sz w:val="24"/>
              </w:rPr>
            </w:pPr>
            <w:r>
              <w:rPr>
                <w:rFonts w:hint="eastAsia" w:ascii="仿宋_GB2312" w:hAnsi="仿宋" w:eastAsia="仿宋_GB2312"/>
                <w:sz w:val="24"/>
              </w:rPr>
              <w:t>访谈：新时代高校辅导员素质能力提升</w:t>
            </w: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李  萌</w:t>
            </w:r>
          </w:p>
        </w:tc>
        <w:tc>
          <w:tcPr>
            <w:tcW w:w="2964" w:type="dxa"/>
            <w:gridSpan w:val="5"/>
            <w:noWrap w:val="0"/>
            <w:vAlign w:val="center"/>
          </w:tcPr>
          <w:p>
            <w:pPr>
              <w:spacing w:line="280" w:lineRule="exact"/>
              <w:rPr>
                <w:rFonts w:hint="eastAsia" w:ascii="仿宋_GB2312" w:hAnsi="仿宋" w:eastAsia="仿宋_GB2312"/>
                <w:sz w:val="24"/>
              </w:rPr>
            </w:pPr>
            <w:r>
              <w:rPr>
                <w:rFonts w:hint="eastAsia" w:ascii="仿宋_GB2312" w:hAnsi="仿宋" w:eastAsia="仿宋_GB2312"/>
                <w:sz w:val="24"/>
              </w:rPr>
              <w:t>陕西科技大学学工部副部长，第七届全国辅导员年度人物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vMerge w:val="continue"/>
            <w:noWrap w:val="0"/>
            <w:vAlign w:val="center"/>
          </w:tcPr>
          <w:p>
            <w:pPr>
              <w:rPr>
                <w:rFonts w:hint="eastAsia" w:ascii="仿宋_GB2312" w:hAnsi="仿宋" w:eastAsia="仿宋_GB2312"/>
                <w:sz w:val="24"/>
              </w:rPr>
            </w:pP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朱  丹</w:t>
            </w:r>
          </w:p>
        </w:tc>
        <w:tc>
          <w:tcPr>
            <w:tcW w:w="2964" w:type="dxa"/>
            <w:gridSpan w:val="5"/>
            <w:noWrap w:val="0"/>
            <w:vAlign w:val="center"/>
          </w:tcPr>
          <w:p>
            <w:pPr>
              <w:rPr>
                <w:rFonts w:hint="eastAsia" w:ascii="仿宋_GB2312" w:hAnsi="仿宋" w:eastAsia="仿宋_GB2312"/>
                <w:sz w:val="24"/>
              </w:rPr>
            </w:pPr>
            <w:r>
              <w:rPr>
                <w:rFonts w:hint="eastAsia" w:ascii="仿宋_GB2312" w:hAnsi="仿宋" w:eastAsia="仿宋_GB2312"/>
                <w:sz w:val="24"/>
              </w:rPr>
              <w:t>云南大学辅导员，第八届全国辅导员年度人物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vMerge w:val="continue"/>
            <w:noWrap w:val="0"/>
            <w:vAlign w:val="center"/>
          </w:tcPr>
          <w:p>
            <w:pPr>
              <w:jc w:val="center"/>
              <w:rPr>
                <w:rFonts w:hint="eastAsia" w:ascii="仿宋_GB2312" w:hAnsi="仿宋" w:eastAsia="仿宋_GB2312"/>
                <w:sz w:val="24"/>
              </w:rPr>
            </w:pP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沈  菲</w:t>
            </w:r>
          </w:p>
        </w:tc>
        <w:tc>
          <w:tcPr>
            <w:tcW w:w="2964" w:type="dxa"/>
            <w:gridSpan w:val="5"/>
            <w:noWrap w:val="0"/>
            <w:vAlign w:val="center"/>
          </w:tcPr>
          <w:p>
            <w:pPr>
              <w:rPr>
                <w:rFonts w:hint="eastAsia" w:ascii="仿宋_GB2312" w:hAnsi="仿宋" w:eastAsia="仿宋_GB2312"/>
                <w:sz w:val="24"/>
              </w:rPr>
            </w:pPr>
            <w:r>
              <w:rPr>
                <w:rFonts w:hint="eastAsia" w:ascii="仿宋_GB2312" w:hAnsi="仿宋" w:eastAsia="仿宋_GB2312"/>
                <w:sz w:val="24"/>
              </w:rPr>
              <w:t>南京师范大学辅导员，第十届全国辅导员年度人物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5" w:type="dxa"/>
            <w:gridSpan w:val="2"/>
            <w:vMerge w:val="continue"/>
            <w:noWrap w:val="0"/>
            <w:vAlign w:val="center"/>
          </w:tcPr>
          <w:p>
            <w:pPr>
              <w:jc w:val="center"/>
              <w:rPr>
                <w:rFonts w:hint="eastAsia" w:ascii="仿宋_GB2312" w:hAnsi="仿宋" w:eastAsia="仿宋_GB2312"/>
                <w:sz w:val="24"/>
              </w:rPr>
            </w:pPr>
          </w:p>
        </w:tc>
        <w:tc>
          <w:tcPr>
            <w:tcW w:w="978" w:type="dxa"/>
            <w:gridSpan w:val="3"/>
            <w:noWrap w:val="0"/>
            <w:vAlign w:val="center"/>
          </w:tcPr>
          <w:p>
            <w:pPr>
              <w:jc w:val="center"/>
              <w:rPr>
                <w:rFonts w:hint="eastAsia" w:ascii="仿宋_GB2312" w:hAnsi="仿宋" w:eastAsia="仿宋_GB2312"/>
                <w:sz w:val="24"/>
              </w:rPr>
            </w:pPr>
            <w:r>
              <w:rPr>
                <w:rFonts w:hint="eastAsia" w:ascii="仿宋_GB2312" w:hAnsi="仿宋" w:eastAsia="仿宋_GB2312"/>
                <w:sz w:val="24"/>
              </w:rPr>
              <w:t>王  洵</w:t>
            </w:r>
          </w:p>
        </w:tc>
        <w:tc>
          <w:tcPr>
            <w:tcW w:w="2964" w:type="dxa"/>
            <w:gridSpan w:val="5"/>
            <w:noWrap w:val="0"/>
            <w:vAlign w:val="center"/>
          </w:tcPr>
          <w:p>
            <w:pPr>
              <w:rPr>
                <w:rFonts w:hint="eastAsia" w:ascii="仿宋_GB2312" w:hAnsi="仿宋" w:eastAsia="仿宋_GB2312"/>
                <w:sz w:val="24"/>
              </w:rPr>
            </w:pPr>
            <w:r>
              <w:rPr>
                <w:rFonts w:hint="eastAsia" w:ascii="仿宋_GB2312" w:hAnsi="仿宋" w:eastAsia="仿宋_GB2312"/>
                <w:sz w:val="24"/>
              </w:rPr>
              <w:t>首都师范大学辅导员，北京市十佳辅导员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507" w:type="dxa"/>
            <w:gridSpan w:val="10"/>
            <w:noWrap w:val="0"/>
            <w:vAlign w:val="center"/>
          </w:tcPr>
          <w:p>
            <w:pPr>
              <w:jc w:val="center"/>
              <w:rPr>
                <w:rFonts w:hint="eastAsia" w:ascii="仿宋" w:hAnsi="仿宋" w:eastAsia="仿宋"/>
                <w:sz w:val="24"/>
              </w:rPr>
            </w:pPr>
            <w:r>
              <w:rPr>
                <w:rFonts w:hint="eastAsia" w:ascii="黑体" w:hAnsi="黑体" w:eastAsia="黑体" w:cs="宋体"/>
                <w:color w:val="000000"/>
                <w:kern w:val="0"/>
                <w:sz w:val="24"/>
              </w:rPr>
              <w:t>（六）疫情防控知识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679"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《新型冠状病毒感染的肺炎公众防护指南》系列课程</w:t>
            </w:r>
          </w:p>
        </w:tc>
        <w:tc>
          <w:tcPr>
            <w:tcW w:w="995" w:type="dxa"/>
            <w:gridSpan w:val="5"/>
            <w:noWrap w:val="0"/>
            <w:vAlign w:val="center"/>
          </w:tcPr>
          <w:p>
            <w:pPr>
              <w:jc w:val="center"/>
              <w:rPr>
                <w:rFonts w:hint="eastAsia" w:ascii="仿宋_GB2312" w:hAnsi="仿宋" w:eastAsia="仿宋_GB2312"/>
                <w:sz w:val="24"/>
              </w:rPr>
            </w:pPr>
            <w:r>
              <w:rPr>
                <w:rFonts w:hint="eastAsia" w:ascii="仿宋_GB2312" w:hAnsi="仿宋" w:eastAsia="仿宋_GB2312"/>
                <w:sz w:val="24"/>
              </w:rPr>
              <w:t>专题片</w:t>
            </w:r>
          </w:p>
        </w:tc>
        <w:tc>
          <w:tcPr>
            <w:tcW w:w="2833" w:type="dxa"/>
            <w:noWrap w:val="0"/>
            <w:vAlign w:val="center"/>
          </w:tcPr>
          <w:p>
            <w:pPr>
              <w:rPr>
                <w:rFonts w:hint="eastAsia"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679"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新冠肺炎防控知识手册系列课程</w:t>
            </w:r>
          </w:p>
        </w:tc>
        <w:tc>
          <w:tcPr>
            <w:tcW w:w="995" w:type="dxa"/>
            <w:gridSpan w:val="5"/>
            <w:noWrap w:val="0"/>
            <w:vAlign w:val="center"/>
          </w:tcPr>
          <w:p>
            <w:pPr>
              <w:jc w:val="center"/>
              <w:rPr>
                <w:rFonts w:hint="eastAsia" w:ascii="仿宋_GB2312" w:hAnsi="仿宋" w:eastAsia="仿宋_GB2312"/>
                <w:sz w:val="24"/>
              </w:rPr>
            </w:pPr>
            <w:r>
              <w:rPr>
                <w:rFonts w:hint="eastAsia" w:ascii="仿宋_GB2312" w:hAnsi="仿宋" w:eastAsia="仿宋_GB2312"/>
                <w:sz w:val="24"/>
              </w:rPr>
              <w:t>专题片</w:t>
            </w:r>
          </w:p>
        </w:tc>
        <w:tc>
          <w:tcPr>
            <w:tcW w:w="2833" w:type="dxa"/>
            <w:noWrap w:val="0"/>
            <w:vAlign w:val="center"/>
          </w:tcPr>
          <w:p>
            <w:pPr>
              <w:rPr>
                <w:rFonts w:hint="eastAsia"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679"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疫情下：让“心”不再慌，让“言”更有爱</w:t>
            </w:r>
          </w:p>
        </w:tc>
        <w:tc>
          <w:tcPr>
            <w:tcW w:w="995" w:type="dxa"/>
            <w:gridSpan w:val="5"/>
            <w:noWrap w:val="0"/>
            <w:vAlign w:val="center"/>
          </w:tcPr>
          <w:p>
            <w:pPr>
              <w:jc w:val="center"/>
              <w:rPr>
                <w:rFonts w:hint="eastAsia" w:ascii="仿宋_GB2312" w:hAnsi="仿宋" w:eastAsia="仿宋_GB2312"/>
                <w:sz w:val="24"/>
              </w:rPr>
            </w:pPr>
            <w:r>
              <w:rPr>
                <w:rFonts w:hint="eastAsia" w:ascii="仿宋_GB2312" w:hAnsi="仿宋" w:eastAsia="仿宋_GB2312"/>
                <w:sz w:val="24"/>
              </w:rPr>
              <w:t>专题片</w:t>
            </w:r>
          </w:p>
        </w:tc>
        <w:tc>
          <w:tcPr>
            <w:tcW w:w="2833" w:type="dxa"/>
            <w:noWrap w:val="0"/>
            <w:vAlign w:val="top"/>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679"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为避开疫情，我们该如何保护自己</w:t>
            </w:r>
          </w:p>
        </w:tc>
        <w:tc>
          <w:tcPr>
            <w:tcW w:w="995" w:type="dxa"/>
            <w:gridSpan w:val="5"/>
            <w:noWrap w:val="0"/>
            <w:vAlign w:val="center"/>
          </w:tcPr>
          <w:p>
            <w:pPr>
              <w:jc w:val="center"/>
              <w:rPr>
                <w:rFonts w:hint="eastAsia" w:ascii="仿宋_GB2312" w:hAnsi="仿宋" w:eastAsia="仿宋_GB2312"/>
                <w:sz w:val="24"/>
              </w:rPr>
            </w:pPr>
            <w:r>
              <w:rPr>
                <w:rFonts w:hint="eastAsia" w:ascii="仿宋_GB2312" w:hAnsi="仿宋" w:eastAsia="仿宋_GB2312"/>
                <w:sz w:val="24"/>
              </w:rPr>
              <w:t>微  课</w:t>
            </w:r>
          </w:p>
        </w:tc>
        <w:tc>
          <w:tcPr>
            <w:tcW w:w="2833" w:type="dxa"/>
            <w:noWrap w:val="0"/>
            <w:vAlign w:val="top"/>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679" w:type="dxa"/>
            <w:gridSpan w:val="4"/>
            <w:noWrap w:val="0"/>
            <w:vAlign w:val="center"/>
          </w:tcPr>
          <w:p>
            <w:pPr>
              <w:rPr>
                <w:rFonts w:hint="eastAsia" w:ascii="仿宋_GB2312" w:hAnsi="仿宋" w:eastAsia="仿宋_GB2312"/>
                <w:sz w:val="24"/>
              </w:rPr>
            </w:pPr>
            <w:r>
              <w:rPr>
                <w:rFonts w:hint="eastAsia" w:ascii="仿宋_GB2312" w:hAnsi="仿宋" w:eastAsia="仿宋_GB2312"/>
                <w:sz w:val="24"/>
              </w:rPr>
              <w:t>抗击疫情，你一定要做的四件事</w:t>
            </w:r>
          </w:p>
        </w:tc>
        <w:tc>
          <w:tcPr>
            <w:tcW w:w="995" w:type="dxa"/>
            <w:gridSpan w:val="5"/>
            <w:noWrap w:val="0"/>
            <w:vAlign w:val="center"/>
          </w:tcPr>
          <w:p>
            <w:pPr>
              <w:jc w:val="center"/>
              <w:rPr>
                <w:rFonts w:hint="eastAsia" w:ascii="仿宋_GB2312" w:hAnsi="仿宋" w:eastAsia="仿宋_GB2312"/>
                <w:sz w:val="24"/>
              </w:rPr>
            </w:pPr>
            <w:r>
              <w:rPr>
                <w:rFonts w:hint="eastAsia" w:ascii="仿宋_GB2312" w:hAnsi="仿宋" w:eastAsia="仿宋_GB2312"/>
                <w:sz w:val="24"/>
              </w:rPr>
              <w:t>微  课</w:t>
            </w:r>
          </w:p>
        </w:tc>
        <w:tc>
          <w:tcPr>
            <w:tcW w:w="2833" w:type="dxa"/>
            <w:noWrap w:val="0"/>
            <w:vAlign w:val="center"/>
          </w:tcPr>
          <w:p>
            <w:pPr>
              <w:rPr>
                <w:rFonts w:hint="eastAsia" w:ascii="仿宋_GB2312" w:hAnsi="仿宋" w:eastAsia="仿宋_GB2312"/>
                <w:sz w:val="24"/>
              </w:rPr>
            </w:pPr>
          </w:p>
        </w:tc>
      </w:tr>
    </w:tbl>
    <w:p>
      <w:pPr>
        <w:jc w:val="left"/>
        <w:rPr>
          <w:rFonts w:hint="eastAsia" w:ascii="仿宋_GB2312" w:eastAsia="仿宋_GB2312"/>
          <w:color w:val="000000"/>
          <w:sz w:val="24"/>
        </w:rPr>
      </w:pPr>
      <w:r>
        <w:rPr>
          <w:rFonts w:hint="eastAsia" w:ascii="仿宋_GB2312" w:hAnsi="仿宋" w:eastAsia="仿宋_GB2312"/>
          <w:color w:val="000000"/>
          <w:sz w:val="24"/>
        </w:rPr>
        <w:t>说明：</w:t>
      </w:r>
      <w:r>
        <w:rPr>
          <w:rFonts w:eastAsia="仿宋_GB2312"/>
          <w:color w:val="000000"/>
          <w:sz w:val="24"/>
        </w:rPr>
        <w:t>1</w:t>
      </w:r>
      <w:r>
        <w:rPr>
          <w:rFonts w:hint="eastAsia" w:ascii="仿宋_GB2312" w:eastAsia="仿宋_GB2312"/>
          <w:color w:val="000000"/>
          <w:sz w:val="24"/>
        </w:rPr>
        <w:t xml:space="preserve">.以上均为备选，若个别课程或稍有调整，请以平台最终发布课程为准； </w:t>
      </w:r>
    </w:p>
    <w:p>
      <w:pPr>
        <w:ind w:firstLine="720" w:firstLineChars="300"/>
        <w:jc w:val="left"/>
        <w:rPr>
          <w:rFonts w:hint="eastAsia" w:ascii="仿宋_GB2312" w:hAnsi="仿宋" w:eastAsia="仿宋_GB2312"/>
          <w:color w:val="000000"/>
          <w:sz w:val="24"/>
        </w:rPr>
      </w:pPr>
      <w:r>
        <w:rPr>
          <w:rFonts w:eastAsia="仿宋_GB2312"/>
          <w:color w:val="000000"/>
          <w:sz w:val="24"/>
        </w:rPr>
        <w:t>2</w:t>
      </w:r>
      <w:r>
        <w:rPr>
          <w:rFonts w:hint="eastAsia" w:ascii="仿宋_GB2312" w:eastAsia="仿宋_GB2312"/>
          <w:color w:val="000000"/>
          <w:sz w:val="24"/>
        </w:rPr>
        <w:t>.</w:t>
      </w:r>
      <w:r>
        <w:rPr>
          <w:rFonts w:hint="eastAsia" w:ascii="仿宋_GB2312" w:hAnsi="仿宋" w:eastAsia="仿宋_GB2312"/>
          <w:color w:val="000000"/>
          <w:sz w:val="24"/>
        </w:rPr>
        <w:t>课程主讲人职务为课程录制时的职务。</w:t>
      </w:r>
    </w:p>
    <w:p>
      <w:pPr>
        <w:spacing w:before="100" w:beforeAutospacing="1" w:line="360" w:lineRule="auto"/>
        <w:ind w:firstLine="482" w:firstLineChars="200"/>
        <w:jc w:val="center"/>
        <w:rPr>
          <w:rFonts w:ascii="仿宋" w:hAnsi="仿宋" w:eastAsia="仿宋"/>
          <w:b/>
          <w:bCs/>
          <w:color w:val="000000"/>
          <w:sz w:val="24"/>
        </w:rPr>
      </w:pPr>
      <w:r>
        <w:rPr>
          <w:rFonts w:hint="eastAsia" w:ascii="仿宋" w:hAnsi="仿宋" w:eastAsia="仿宋"/>
          <w:b/>
          <w:bCs/>
          <w:color w:val="000000"/>
          <w:sz w:val="24"/>
        </w:rPr>
        <w:t>表2</w:t>
      </w:r>
      <w:r>
        <w:rPr>
          <w:rFonts w:ascii="仿宋" w:hAnsi="仿宋" w:eastAsia="仿宋"/>
          <w:b/>
          <w:bCs/>
          <w:color w:val="000000"/>
          <w:sz w:val="24"/>
        </w:rPr>
        <w:t xml:space="preserve"> </w:t>
      </w:r>
      <w:r>
        <w:rPr>
          <w:rFonts w:hint="eastAsia" w:ascii="仿宋" w:hAnsi="仿宋" w:eastAsia="仿宋"/>
          <w:b/>
          <w:bCs/>
          <w:color w:val="000000"/>
          <w:sz w:val="24"/>
        </w:rPr>
        <w:t>系列直播课程列表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835"/>
        <w:gridCol w:w="1134"/>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51" w:type="dxa"/>
            <w:noWrap w:val="0"/>
            <w:vAlign w:val="center"/>
          </w:tcPr>
          <w:p>
            <w:pPr>
              <w:widowControl/>
              <w:jc w:val="center"/>
              <w:rPr>
                <w:rFonts w:ascii="仿宋" w:hAnsi="仿宋" w:eastAsia="仿宋" w:cs="宋体"/>
                <w:b/>
                <w:bCs/>
                <w:color w:val="000000"/>
                <w:kern w:val="0"/>
                <w:sz w:val="24"/>
              </w:rPr>
            </w:pPr>
            <w:r>
              <w:rPr>
                <w:rFonts w:hint="eastAsia" w:ascii="仿宋" w:hAnsi="仿宋" w:eastAsia="仿宋" w:cs="宋体"/>
                <w:b/>
                <w:bCs/>
                <w:color w:val="000000"/>
                <w:kern w:val="0"/>
                <w:sz w:val="24"/>
              </w:rPr>
              <w:t>拟计划</w:t>
            </w:r>
          </w:p>
          <w:p>
            <w:pPr>
              <w:widowControl/>
              <w:jc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直播时间</w:t>
            </w:r>
          </w:p>
        </w:tc>
        <w:tc>
          <w:tcPr>
            <w:tcW w:w="2835" w:type="dxa"/>
            <w:noWrap w:val="0"/>
            <w:vAlign w:val="center"/>
          </w:tcPr>
          <w:p>
            <w:pPr>
              <w:widowControl/>
              <w:jc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直播主题</w:t>
            </w:r>
          </w:p>
        </w:tc>
        <w:tc>
          <w:tcPr>
            <w:tcW w:w="1134" w:type="dxa"/>
            <w:noWrap w:val="0"/>
            <w:vAlign w:val="center"/>
          </w:tcPr>
          <w:p>
            <w:pPr>
              <w:widowControl/>
              <w:jc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拟邀请主讲人</w:t>
            </w:r>
          </w:p>
        </w:tc>
        <w:tc>
          <w:tcPr>
            <w:tcW w:w="2602" w:type="dxa"/>
            <w:noWrap w:val="0"/>
            <w:vAlign w:val="center"/>
          </w:tcPr>
          <w:p>
            <w:pPr>
              <w:widowControl/>
              <w:jc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51" w:type="dxa"/>
            <w:noWrap w:val="0"/>
            <w:vAlign w:val="center"/>
          </w:tcPr>
          <w:p>
            <w:pPr>
              <w:widowControl/>
              <w:jc w:val="center"/>
              <w:rPr>
                <w:rFonts w:ascii="仿宋_GB2312" w:hAnsi="仿宋" w:eastAsia="仿宋_GB2312"/>
                <w:color w:val="000000"/>
                <w:kern w:val="0"/>
                <w:sz w:val="24"/>
              </w:rPr>
            </w:pPr>
            <w:r>
              <w:rPr>
                <w:rFonts w:eastAsia="仿宋_GB2312"/>
                <w:color w:val="000000"/>
                <w:kern w:val="0"/>
                <w:sz w:val="24"/>
              </w:rPr>
              <w:t>3月28日</w:t>
            </w:r>
            <w:r>
              <w:rPr>
                <w:rFonts w:hint="eastAsia" w:ascii="仿宋_GB2312" w:hAnsi="仿宋" w:eastAsia="仿宋_GB2312"/>
                <w:color w:val="000000"/>
                <w:kern w:val="0"/>
                <w:sz w:val="24"/>
              </w:rPr>
              <w:t>（周六）</w:t>
            </w:r>
          </w:p>
          <w:p>
            <w:pPr>
              <w:widowControl/>
              <w:jc w:val="center"/>
              <w:rPr>
                <w:rFonts w:hint="eastAsia" w:ascii="仿宋" w:hAnsi="仿宋" w:eastAsia="仿宋" w:cs="宋体"/>
                <w:b/>
                <w:bCs/>
                <w:color w:val="000000"/>
                <w:kern w:val="0"/>
                <w:sz w:val="24"/>
              </w:rPr>
            </w:pPr>
            <w:r>
              <w:rPr>
                <w:rFonts w:hint="eastAsia" w:ascii="仿宋_GB2312" w:hAnsi="仿宋" w:eastAsia="仿宋_GB2312"/>
                <w:color w:val="000000"/>
                <w:kern w:val="0"/>
                <w:sz w:val="24"/>
              </w:rPr>
              <w:t>上午</w:t>
            </w:r>
            <w:r>
              <w:rPr>
                <w:rFonts w:eastAsia="仿宋_GB2312"/>
                <w:color w:val="000000"/>
                <w:kern w:val="0"/>
                <w:sz w:val="24"/>
              </w:rPr>
              <w:t>9:30</w:t>
            </w:r>
            <w:r>
              <w:rPr>
                <w:rFonts w:hint="eastAsia" w:ascii="仿宋_GB2312" w:hAnsi="仿宋" w:eastAsia="仿宋_GB2312"/>
                <w:color w:val="000000"/>
                <w:kern w:val="0"/>
                <w:sz w:val="24"/>
              </w:rPr>
              <w:t>-</w:t>
            </w:r>
            <w:r>
              <w:rPr>
                <w:rFonts w:eastAsia="仿宋_GB2312"/>
                <w:color w:val="000000"/>
                <w:kern w:val="0"/>
                <w:sz w:val="24"/>
              </w:rPr>
              <w:t>11:00</w:t>
            </w:r>
          </w:p>
        </w:tc>
        <w:tc>
          <w:tcPr>
            <w:tcW w:w="2835" w:type="dxa"/>
            <w:noWrap w:val="0"/>
            <w:vAlign w:val="center"/>
          </w:tcPr>
          <w:p>
            <w:pPr>
              <w:rPr>
                <w:rFonts w:hint="eastAsia" w:ascii="仿宋_GB2312" w:hAnsi="仿宋" w:eastAsia="仿宋_GB2312"/>
                <w:color w:val="000000"/>
                <w:sz w:val="24"/>
              </w:rPr>
            </w:pPr>
            <w:r>
              <w:rPr>
                <w:rFonts w:hint="eastAsia" w:ascii="仿宋_GB2312" w:hAnsi="仿宋" w:eastAsia="仿宋_GB2312"/>
                <w:color w:val="000000"/>
                <w:kern w:val="0"/>
                <w:sz w:val="24"/>
              </w:rPr>
              <w:t>疫情防控治理效能与中国制度优势</w:t>
            </w:r>
          </w:p>
        </w:tc>
        <w:tc>
          <w:tcPr>
            <w:tcW w:w="1134" w:type="dxa"/>
            <w:noWrap w:val="0"/>
            <w:vAlign w:val="center"/>
          </w:tcPr>
          <w:p>
            <w:pPr>
              <w:jc w:val="center"/>
              <w:rPr>
                <w:rFonts w:hint="eastAsia" w:ascii="仿宋_GB2312" w:hAnsi="仿宋" w:eastAsia="仿宋_GB2312"/>
                <w:color w:val="000000"/>
                <w:sz w:val="24"/>
              </w:rPr>
            </w:pPr>
            <w:r>
              <w:rPr>
                <w:rFonts w:hint="eastAsia" w:ascii="仿宋_GB2312" w:hAnsi="仿宋" w:eastAsia="仿宋_GB2312"/>
                <w:color w:val="000000"/>
                <w:sz w:val="24"/>
              </w:rPr>
              <w:t>卢黎歌</w:t>
            </w:r>
          </w:p>
        </w:tc>
        <w:tc>
          <w:tcPr>
            <w:tcW w:w="2602" w:type="dxa"/>
            <w:noWrap w:val="0"/>
            <w:vAlign w:val="center"/>
          </w:tcPr>
          <w:p>
            <w:pPr>
              <w:rPr>
                <w:rFonts w:hint="eastAsia" w:ascii="仿宋_GB2312" w:hAnsi="仿宋" w:eastAsia="仿宋_GB2312"/>
                <w:color w:val="000000"/>
                <w:sz w:val="24"/>
              </w:rPr>
            </w:pPr>
            <w:r>
              <w:rPr>
                <w:rFonts w:hint="eastAsia" w:ascii="仿宋_GB2312" w:hAnsi="仿宋" w:eastAsia="仿宋_GB2312"/>
                <w:color w:val="000000"/>
                <w:sz w:val="24"/>
              </w:rPr>
              <w:t>西安交通大学教授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51" w:type="dxa"/>
            <w:noWrap w:val="0"/>
            <w:vAlign w:val="center"/>
          </w:tcPr>
          <w:p>
            <w:pPr>
              <w:jc w:val="center"/>
              <w:outlineLvl w:val="0"/>
              <w:rPr>
                <w:rFonts w:ascii="仿宋_GB2312" w:hAnsi="仿宋" w:eastAsia="仿宋_GB2312"/>
                <w:color w:val="000000"/>
                <w:kern w:val="0"/>
                <w:sz w:val="24"/>
              </w:rPr>
            </w:pPr>
            <w:r>
              <w:rPr>
                <w:rFonts w:eastAsia="仿宋_GB2312"/>
                <w:color w:val="000000"/>
                <w:kern w:val="0"/>
                <w:sz w:val="24"/>
              </w:rPr>
              <w:t>4月4日</w:t>
            </w:r>
            <w:r>
              <w:rPr>
                <w:rFonts w:hint="eastAsia" w:ascii="仿宋_GB2312" w:hAnsi="仿宋" w:eastAsia="仿宋_GB2312"/>
                <w:color w:val="000000"/>
                <w:kern w:val="0"/>
                <w:sz w:val="24"/>
              </w:rPr>
              <w:t>（周六）</w:t>
            </w:r>
          </w:p>
          <w:p>
            <w:pPr>
              <w:jc w:val="center"/>
              <w:outlineLvl w:val="0"/>
              <w:rPr>
                <w:rFonts w:hint="eastAsia" w:ascii="仿宋_GB2312" w:hAnsi="仿宋" w:eastAsia="仿宋_GB2312"/>
                <w:color w:val="000000"/>
                <w:kern w:val="0"/>
                <w:sz w:val="24"/>
              </w:rPr>
            </w:pPr>
            <w:r>
              <w:rPr>
                <w:rFonts w:hint="eastAsia" w:ascii="仿宋_GB2312" w:hAnsi="仿宋" w:eastAsia="仿宋_GB2312"/>
                <w:color w:val="000000"/>
                <w:kern w:val="0"/>
                <w:sz w:val="24"/>
              </w:rPr>
              <w:t>上午</w:t>
            </w:r>
            <w:r>
              <w:rPr>
                <w:rFonts w:eastAsia="仿宋_GB2312"/>
                <w:color w:val="000000"/>
                <w:kern w:val="0"/>
                <w:sz w:val="24"/>
              </w:rPr>
              <w:t>9:30</w:t>
            </w:r>
            <w:r>
              <w:rPr>
                <w:rFonts w:hint="eastAsia" w:ascii="仿宋_GB2312" w:hAnsi="仿宋" w:eastAsia="仿宋_GB2312"/>
                <w:color w:val="000000"/>
                <w:kern w:val="0"/>
                <w:sz w:val="24"/>
              </w:rPr>
              <w:t>-</w:t>
            </w:r>
            <w:r>
              <w:rPr>
                <w:rFonts w:eastAsia="仿宋_GB2312"/>
                <w:color w:val="000000"/>
                <w:kern w:val="0"/>
                <w:sz w:val="24"/>
              </w:rPr>
              <w:t>11:00</w:t>
            </w:r>
          </w:p>
        </w:tc>
        <w:tc>
          <w:tcPr>
            <w:tcW w:w="2835" w:type="dxa"/>
            <w:noWrap w:val="0"/>
            <w:vAlign w:val="center"/>
          </w:tcPr>
          <w:p>
            <w:pPr>
              <w:rPr>
                <w:rFonts w:hint="eastAsia" w:ascii="仿宋_GB2312" w:hAnsi="仿宋" w:eastAsia="仿宋_GB2312"/>
                <w:color w:val="000000"/>
                <w:sz w:val="24"/>
              </w:rPr>
            </w:pPr>
            <w:r>
              <w:rPr>
                <w:rFonts w:hint="eastAsia" w:ascii="仿宋_GB2312" w:hAnsi="仿宋" w:eastAsia="仿宋_GB2312"/>
                <w:color w:val="000000"/>
                <w:sz w:val="24"/>
              </w:rPr>
              <w:t>疫情期间如何缓解学业和毕业焦虑</w:t>
            </w:r>
          </w:p>
        </w:tc>
        <w:tc>
          <w:tcPr>
            <w:tcW w:w="1134" w:type="dxa"/>
            <w:noWrap w:val="0"/>
            <w:vAlign w:val="center"/>
          </w:tcPr>
          <w:p>
            <w:pPr>
              <w:jc w:val="center"/>
              <w:rPr>
                <w:rFonts w:hint="eastAsia" w:ascii="仿宋_GB2312" w:hAnsi="仿宋" w:eastAsia="仿宋_GB2312"/>
                <w:color w:val="000000"/>
                <w:sz w:val="24"/>
              </w:rPr>
            </w:pPr>
            <w:r>
              <w:rPr>
                <w:rFonts w:hint="eastAsia" w:ascii="仿宋_GB2312" w:hAnsi="仿宋" w:eastAsia="仿宋_GB2312"/>
                <w:color w:val="000000"/>
                <w:sz w:val="24"/>
              </w:rPr>
              <w:t>陈顺森</w:t>
            </w:r>
          </w:p>
        </w:tc>
        <w:tc>
          <w:tcPr>
            <w:tcW w:w="2602" w:type="dxa"/>
            <w:noWrap w:val="0"/>
            <w:vAlign w:val="center"/>
          </w:tcPr>
          <w:p>
            <w:pPr>
              <w:rPr>
                <w:rFonts w:hint="eastAsia" w:ascii="仿宋_GB2312" w:hAnsi="仿宋" w:eastAsia="仿宋_GB2312"/>
                <w:color w:val="000000"/>
                <w:sz w:val="24"/>
              </w:rPr>
            </w:pPr>
            <w:r>
              <w:rPr>
                <w:rFonts w:hint="eastAsia" w:ascii="仿宋_GB2312" w:hAnsi="仿宋" w:eastAsia="仿宋_GB2312"/>
                <w:color w:val="000000"/>
                <w:sz w:val="24"/>
              </w:rPr>
              <w:t>闽南师范大学教授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51" w:type="dxa"/>
            <w:noWrap w:val="0"/>
            <w:vAlign w:val="center"/>
          </w:tcPr>
          <w:p>
            <w:pPr>
              <w:jc w:val="center"/>
              <w:outlineLvl w:val="0"/>
              <w:rPr>
                <w:rFonts w:eastAsia="仿宋_GB2312"/>
                <w:color w:val="000000"/>
                <w:kern w:val="0"/>
                <w:sz w:val="24"/>
              </w:rPr>
            </w:pPr>
            <w:r>
              <w:rPr>
                <w:rFonts w:hint="eastAsia" w:eastAsia="仿宋_GB2312"/>
                <w:color w:val="000000"/>
                <w:kern w:val="0"/>
                <w:sz w:val="24"/>
              </w:rPr>
              <w:t>4月1</w:t>
            </w:r>
            <w:r>
              <w:rPr>
                <w:rFonts w:eastAsia="仿宋_GB2312"/>
                <w:color w:val="000000"/>
                <w:kern w:val="0"/>
                <w:sz w:val="24"/>
              </w:rPr>
              <w:t>1</w:t>
            </w:r>
            <w:r>
              <w:rPr>
                <w:rFonts w:hint="eastAsia" w:eastAsia="仿宋_GB2312"/>
                <w:color w:val="000000"/>
                <w:kern w:val="0"/>
                <w:sz w:val="24"/>
              </w:rPr>
              <w:t>日（周六）</w:t>
            </w:r>
          </w:p>
          <w:p>
            <w:pPr>
              <w:jc w:val="center"/>
              <w:outlineLvl w:val="0"/>
              <w:rPr>
                <w:rFonts w:hint="eastAsia" w:ascii="仿宋_GB2312" w:hAnsi="仿宋" w:eastAsia="仿宋_GB2312"/>
                <w:color w:val="000000"/>
                <w:kern w:val="0"/>
                <w:sz w:val="24"/>
              </w:rPr>
            </w:pPr>
            <w:r>
              <w:rPr>
                <w:rFonts w:hint="eastAsia" w:ascii="仿宋_GB2312" w:hAnsi="仿宋" w:eastAsia="仿宋_GB2312"/>
                <w:color w:val="000000"/>
                <w:kern w:val="0"/>
                <w:sz w:val="24"/>
              </w:rPr>
              <w:t>上午</w:t>
            </w:r>
            <w:r>
              <w:rPr>
                <w:rFonts w:eastAsia="仿宋_GB2312"/>
                <w:color w:val="000000"/>
                <w:kern w:val="0"/>
                <w:sz w:val="24"/>
              </w:rPr>
              <w:t>9:30</w:t>
            </w:r>
            <w:r>
              <w:rPr>
                <w:rFonts w:hint="eastAsia" w:ascii="仿宋_GB2312" w:hAnsi="仿宋" w:eastAsia="仿宋_GB2312"/>
                <w:color w:val="000000"/>
                <w:kern w:val="0"/>
                <w:sz w:val="24"/>
              </w:rPr>
              <w:t>-</w:t>
            </w:r>
            <w:r>
              <w:rPr>
                <w:rFonts w:eastAsia="仿宋_GB2312"/>
                <w:color w:val="000000"/>
                <w:kern w:val="0"/>
                <w:sz w:val="24"/>
              </w:rPr>
              <w:t>11</w:t>
            </w:r>
            <w:r>
              <w:rPr>
                <w:rFonts w:hint="eastAsia" w:eastAsia="仿宋_GB2312"/>
                <w:color w:val="000000"/>
                <w:kern w:val="0"/>
                <w:sz w:val="24"/>
              </w:rPr>
              <w:t>:</w:t>
            </w:r>
            <w:r>
              <w:rPr>
                <w:rFonts w:eastAsia="仿宋_GB2312"/>
                <w:color w:val="000000"/>
                <w:kern w:val="0"/>
                <w:sz w:val="24"/>
              </w:rPr>
              <w:t>00</w:t>
            </w:r>
          </w:p>
        </w:tc>
        <w:tc>
          <w:tcPr>
            <w:tcW w:w="2835" w:type="dxa"/>
            <w:noWrap w:val="0"/>
            <w:vAlign w:val="center"/>
          </w:tcPr>
          <w:p>
            <w:pPr>
              <w:rPr>
                <w:rFonts w:hint="eastAsia" w:ascii="仿宋_GB2312" w:hAnsi="仿宋" w:eastAsia="仿宋_GB2312"/>
                <w:color w:val="000000"/>
                <w:sz w:val="24"/>
              </w:rPr>
            </w:pPr>
            <w:r>
              <w:rPr>
                <w:rFonts w:hint="eastAsia" w:ascii="仿宋_GB2312" w:hAnsi="仿宋" w:eastAsia="仿宋_GB2312"/>
                <w:color w:val="000000"/>
                <w:sz w:val="24"/>
              </w:rPr>
              <w:t>疫情防控下如何利用网络开展大学生思想政治工作</w:t>
            </w:r>
          </w:p>
        </w:tc>
        <w:tc>
          <w:tcPr>
            <w:tcW w:w="1134" w:type="dxa"/>
            <w:noWrap w:val="0"/>
            <w:vAlign w:val="center"/>
          </w:tcPr>
          <w:p>
            <w:pPr>
              <w:jc w:val="center"/>
              <w:rPr>
                <w:rFonts w:hint="eastAsia" w:ascii="仿宋_GB2312" w:hAnsi="仿宋" w:eastAsia="仿宋_GB2312"/>
                <w:color w:val="000000"/>
                <w:sz w:val="24"/>
              </w:rPr>
            </w:pPr>
            <w:r>
              <w:rPr>
                <w:rFonts w:hint="eastAsia" w:ascii="仿宋_GB2312" w:hAnsi="仿宋" w:eastAsia="仿宋_GB2312"/>
                <w:color w:val="000000"/>
                <w:sz w:val="24"/>
              </w:rPr>
              <w:t>冯  培</w:t>
            </w:r>
          </w:p>
        </w:tc>
        <w:tc>
          <w:tcPr>
            <w:tcW w:w="2602" w:type="dxa"/>
            <w:noWrap w:val="0"/>
            <w:vAlign w:val="center"/>
          </w:tcPr>
          <w:p>
            <w:pPr>
              <w:rPr>
                <w:rFonts w:hint="eastAsia" w:ascii="仿宋_GB2312" w:hAnsi="仿宋" w:eastAsia="仿宋_GB2312"/>
                <w:color w:val="000000"/>
                <w:sz w:val="24"/>
              </w:rPr>
            </w:pPr>
            <w:r>
              <w:rPr>
                <w:rFonts w:hint="eastAsia" w:ascii="仿宋_GB2312" w:hAnsi="仿宋" w:eastAsia="仿宋_GB2312"/>
                <w:color w:val="000000"/>
                <w:sz w:val="24"/>
              </w:rPr>
              <w:t>首都经济贸易大学教授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51" w:type="dxa"/>
            <w:noWrap w:val="0"/>
            <w:vAlign w:val="center"/>
          </w:tcPr>
          <w:p>
            <w:pPr>
              <w:jc w:val="center"/>
              <w:outlineLvl w:val="0"/>
              <w:rPr>
                <w:rFonts w:eastAsia="仿宋_GB2312"/>
                <w:color w:val="000000"/>
                <w:kern w:val="0"/>
                <w:sz w:val="24"/>
              </w:rPr>
            </w:pPr>
            <w:r>
              <w:rPr>
                <w:rFonts w:hint="eastAsia" w:eastAsia="仿宋_GB2312"/>
                <w:color w:val="000000"/>
                <w:kern w:val="0"/>
                <w:sz w:val="24"/>
              </w:rPr>
              <w:t>4月1</w:t>
            </w:r>
            <w:r>
              <w:rPr>
                <w:rFonts w:eastAsia="仿宋_GB2312"/>
                <w:color w:val="000000"/>
                <w:kern w:val="0"/>
                <w:sz w:val="24"/>
              </w:rPr>
              <w:t>8</w:t>
            </w:r>
            <w:r>
              <w:rPr>
                <w:rFonts w:hint="eastAsia" w:eastAsia="仿宋_GB2312"/>
                <w:color w:val="000000"/>
                <w:kern w:val="0"/>
                <w:sz w:val="24"/>
              </w:rPr>
              <w:t>日（周六）</w:t>
            </w:r>
          </w:p>
          <w:p>
            <w:pPr>
              <w:jc w:val="center"/>
              <w:outlineLvl w:val="0"/>
              <w:rPr>
                <w:rFonts w:hint="eastAsia" w:eastAsia="仿宋_GB2312"/>
                <w:color w:val="000000"/>
                <w:kern w:val="0"/>
                <w:sz w:val="24"/>
              </w:rPr>
            </w:pPr>
            <w:r>
              <w:rPr>
                <w:rFonts w:hint="eastAsia" w:eastAsia="仿宋_GB2312"/>
                <w:color w:val="000000"/>
                <w:kern w:val="0"/>
                <w:sz w:val="24"/>
              </w:rPr>
              <w:t>上午9:</w:t>
            </w:r>
            <w:r>
              <w:rPr>
                <w:rFonts w:eastAsia="仿宋_GB2312"/>
                <w:color w:val="000000"/>
                <w:kern w:val="0"/>
                <w:sz w:val="24"/>
              </w:rPr>
              <w:t>30</w:t>
            </w:r>
            <w:r>
              <w:rPr>
                <w:rFonts w:hint="eastAsia" w:ascii="仿宋_GB2312" w:hAnsi="仿宋" w:eastAsia="仿宋_GB2312"/>
                <w:color w:val="000000"/>
                <w:kern w:val="0"/>
                <w:sz w:val="24"/>
              </w:rPr>
              <w:t>-</w:t>
            </w:r>
            <w:r>
              <w:rPr>
                <w:rFonts w:eastAsia="仿宋_GB2312"/>
                <w:color w:val="000000"/>
                <w:kern w:val="0"/>
                <w:sz w:val="24"/>
              </w:rPr>
              <w:t>11</w:t>
            </w:r>
            <w:r>
              <w:rPr>
                <w:rFonts w:hint="eastAsia" w:eastAsia="仿宋_GB2312"/>
                <w:color w:val="000000"/>
                <w:kern w:val="0"/>
                <w:sz w:val="24"/>
              </w:rPr>
              <w:t>:</w:t>
            </w:r>
            <w:r>
              <w:rPr>
                <w:rFonts w:eastAsia="仿宋_GB2312"/>
                <w:color w:val="000000"/>
                <w:kern w:val="0"/>
                <w:sz w:val="24"/>
              </w:rPr>
              <w:t>00</w:t>
            </w:r>
          </w:p>
        </w:tc>
        <w:tc>
          <w:tcPr>
            <w:tcW w:w="2835" w:type="dxa"/>
            <w:noWrap w:val="0"/>
            <w:vAlign w:val="center"/>
          </w:tcPr>
          <w:p>
            <w:pPr>
              <w:rPr>
                <w:rFonts w:hint="eastAsia" w:ascii="仿宋_GB2312" w:hAnsi="仿宋" w:eastAsia="仿宋_GB2312"/>
                <w:color w:val="000000"/>
                <w:sz w:val="24"/>
              </w:rPr>
            </w:pPr>
            <w:r>
              <w:rPr>
                <w:rFonts w:hint="eastAsia" w:ascii="仿宋_GB2312" w:hAnsi="仿宋" w:eastAsia="仿宋_GB2312"/>
                <w:color w:val="000000"/>
                <w:sz w:val="24"/>
              </w:rPr>
              <w:t>疫情防控下如何做好大学生就业指导工作</w:t>
            </w:r>
          </w:p>
        </w:tc>
        <w:tc>
          <w:tcPr>
            <w:tcW w:w="1134" w:type="dxa"/>
            <w:noWrap w:val="0"/>
            <w:vAlign w:val="center"/>
          </w:tcPr>
          <w:p>
            <w:pPr>
              <w:jc w:val="center"/>
              <w:rPr>
                <w:rFonts w:hint="eastAsia" w:ascii="仿宋_GB2312" w:hAnsi="仿宋" w:eastAsia="仿宋_GB2312"/>
                <w:color w:val="000000"/>
                <w:sz w:val="24"/>
              </w:rPr>
            </w:pPr>
            <w:r>
              <w:rPr>
                <w:rFonts w:hint="eastAsia" w:ascii="仿宋_GB2312" w:hAnsi="仿宋" w:eastAsia="仿宋_GB2312"/>
                <w:color w:val="000000"/>
                <w:sz w:val="24"/>
              </w:rPr>
              <w:t>王占仁</w:t>
            </w:r>
          </w:p>
        </w:tc>
        <w:tc>
          <w:tcPr>
            <w:tcW w:w="2602" w:type="dxa"/>
            <w:noWrap w:val="0"/>
            <w:vAlign w:val="center"/>
          </w:tcPr>
          <w:p>
            <w:pPr>
              <w:rPr>
                <w:rFonts w:hint="eastAsia" w:ascii="仿宋_GB2312" w:hAnsi="仿宋" w:eastAsia="仿宋_GB2312"/>
                <w:color w:val="000000"/>
                <w:sz w:val="24"/>
              </w:rPr>
            </w:pPr>
            <w:r>
              <w:rPr>
                <w:rFonts w:hint="eastAsia" w:ascii="仿宋_GB2312" w:hAnsi="仿宋" w:eastAsia="仿宋_GB2312"/>
                <w:color w:val="000000"/>
                <w:sz w:val="24"/>
              </w:rPr>
              <w:t>东北师范大学教授</w:t>
            </w:r>
          </w:p>
        </w:tc>
      </w:tr>
    </w:tbl>
    <w:p>
      <w:pPr>
        <w:spacing w:line="360" w:lineRule="auto"/>
        <w:jc w:val="left"/>
        <w:outlineLvl w:val="0"/>
        <w:rPr>
          <w:rFonts w:hint="eastAsia" w:ascii="仿宋_GB2312" w:hAnsi="仿宋" w:eastAsia="仿宋_GB2312"/>
          <w:sz w:val="24"/>
        </w:rPr>
      </w:pPr>
      <w:r>
        <w:rPr>
          <w:rFonts w:hint="eastAsia" w:ascii="仿宋_GB2312" w:hAnsi="仿宋" w:eastAsia="仿宋_GB2312"/>
          <w:sz w:val="24"/>
        </w:rPr>
        <w:t>说明：主题及主讲人或有调整，请以平台通知为准。</w:t>
      </w:r>
    </w:p>
    <w:p>
      <w:pPr>
        <w:spacing w:line="540" w:lineRule="exact"/>
        <w:ind w:firstLine="600" w:firstLineChars="200"/>
        <w:jc w:val="left"/>
        <w:outlineLvl w:val="0"/>
        <w:rPr>
          <w:rFonts w:hint="eastAsia" w:eastAsia="黑体"/>
          <w:kern w:val="0"/>
          <w:sz w:val="30"/>
          <w:szCs w:val="30"/>
        </w:rPr>
      </w:pPr>
      <w:r>
        <w:rPr>
          <w:rFonts w:hint="eastAsia" w:eastAsia="黑体"/>
          <w:kern w:val="0"/>
          <w:sz w:val="30"/>
          <w:szCs w:val="30"/>
        </w:rPr>
        <w:t>四、培训环节与要求</w:t>
      </w:r>
    </w:p>
    <w:p>
      <w:pPr>
        <w:spacing w:line="540" w:lineRule="exact"/>
        <w:ind w:firstLine="600" w:firstLineChars="200"/>
        <w:rPr>
          <w:rFonts w:hint="eastAsia" w:ascii="仿宋_GB2312" w:eastAsia="仿宋_GB2312"/>
          <w:sz w:val="30"/>
          <w:szCs w:val="30"/>
        </w:rPr>
      </w:pPr>
      <w:r>
        <w:rPr>
          <w:rFonts w:hint="eastAsia" w:ascii="仿宋_GB2312" w:eastAsia="仿宋_GB2312"/>
          <w:sz w:val="30"/>
          <w:szCs w:val="30"/>
        </w:rPr>
        <w:t>培训分为课程学习、主题研讨、直播答疑、心得撰写四个环节。</w:t>
      </w:r>
    </w:p>
    <w:p>
      <w:pPr>
        <w:spacing w:line="540" w:lineRule="exact"/>
        <w:ind w:firstLine="602" w:firstLineChars="200"/>
        <w:rPr>
          <w:rFonts w:hint="eastAsia" w:ascii="仿宋_GB2312" w:eastAsia="仿宋_GB2312"/>
          <w:sz w:val="30"/>
          <w:szCs w:val="30"/>
        </w:rPr>
      </w:pPr>
      <w:r>
        <w:rPr>
          <w:rFonts w:eastAsia="仿宋_GB2312"/>
          <w:b/>
          <w:bCs/>
          <w:sz w:val="30"/>
          <w:szCs w:val="30"/>
        </w:rPr>
        <w:t>1</w:t>
      </w:r>
      <w:r>
        <w:rPr>
          <w:rFonts w:hint="eastAsia" w:ascii="仿宋_GB2312" w:eastAsia="仿宋_GB2312"/>
          <w:b/>
          <w:bCs/>
          <w:sz w:val="30"/>
          <w:szCs w:val="30"/>
        </w:rPr>
        <w:t>. 课程学习</w:t>
      </w:r>
      <w:r>
        <w:rPr>
          <w:rFonts w:hint="eastAsia" w:ascii="仿宋_GB2312" w:eastAsia="仿宋_GB2312"/>
          <w:sz w:val="30"/>
          <w:szCs w:val="30"/>
        </w:rPr>
        <w:t>：培训期间，要求参训学员每个课程模块完成不少于</w:t>
      </w:r>
      <w:r>
        <w:rPr>
          <w:rFonts w:eastAsia="仿宋_GB2312"/>
          <w:sz w:val="30"/>
          <w:szCs w:val="30"/>
        </w:rPr>
        <w:t>3</w:t>
      </w:r>
      <w:r>
        <w:rPr>
          <w:rFonts w:hint="eastAsia" w:ascii="仿宋_GB2312" w:eastAsia="仿宋_GB2312"/>
          <w:sz w:val="30"/>
          <w:szCs w:val="30"/>
        </w:rPr>
        <w:t>学时（</w:t>
      </w:r>
      <w:r>
        <w:rPr>
          <w:rFonts w:eastAsia="仿宋_GB2312"/>
          <w:sz w:val="30"/>
          <w:szCs w:val="30"/>
        </w:rPr>
        <w:t>45</w:t>
      </w:r>
      <w:r>
        <w:rPr>
          <w:rFonts w:hint="eastAsia" w:ascii="仿宋_GB2312" w:eastAsia="仿宋_GB2312"/>
          <w:sz w:val="30"/>
          <w:szCs w:val="30"/>
        </w:rPr>
        <w:t>分钟/学时），累计完成不少于</w:t>
      </w:r>
      <w:r>
        <w:rPr>
          <w:rFonts w:eastAsia="仿宋_GB2312"/>
          <w:sz w:val="30"/>
          <w:szCs w:val="30"/>
        </w:rPr>
        <w:t>20</w:t>
      </w:r>
      <w:r>
        <w:rPr>
          <w:rFonts w:hint="eastAsia" w:ascii="仿宋_GB2312" w:eastAsia="仿宋_GB2312"/>
          <w:sz w:val="30"/>
          <w:szCs w:val="30"/>
        </w:rPr>
        <w:t>学时视频课程学习任务。</w:t>
      </w:r>
    </w:p>
    <w:p>
      <w:pPr>
        <w:spacing w:line="540" w:lineRule="exact"/>
        <w:ind w:firstLine="602" w:firstLineChars="200"/>
        <w:rPr>
          <w:rFonts w:hint="eastAsia" w:eastAsia="仿宋"/>
          <w:sz w:val="30"/>
          <w:szCs w:val="30"/>
        </w:rPr>
      </w:pPr>
      <w:r>
        <w:rPr>
          <w:rFonts w:eastAsia="仿宋"/>
          <w:b/>
          <w:bCs/>
          <w:sz w:val="30"/>
          <w:szCs w:val="30"/>
        </w:rPr>
        <w:t xml:space="preserve">2. </w:t>
      </w:r>
      <w:r>
        <w:rPr>
          <w:rFonts w:hint="eastAsia" w:ascii="仿宋_GB2312" w:eastAsia="仿宋_GB2312"/>
          <w:b/>
          <w:bCs/>
          <w:sz w:val="30"/>
          <w:szCs w:val="30"/>
        </w:rPr>
        <w:t>主题研讨：</w:t>
      </w:r>
      <w:r>
        <w:rPr>
          <w:rFonts w:hint="eastAsia" w:ascii="仿宋_GB2312" w:eastAsia="仿宋_GB2312"/>
          <w:sz w:val="30"/>
          <w:szCs w:val="30"/>
        </w:rPr>
        <w:t>培训期间，参训学员在班级管理员的组织下可围绕</w:t>
      </w:r>
      <w:r>
        <w:rPr>
          <w:rFonts w:hint="eastAsia" w:eastAsia="仿宋"/>
          <w:sz w:val="30"/>
          <w:szCs w:val="30"/>
        </w:rPr>
        <w:t>“</w:t>
      </w:r>
      <w:r>
        <w:rPr>
          <w:rFonts w:hint="eastAsia" w:ascii="楷体" w:hAnsi="楷体" w:eastAsia="楷体"/>
          <w:sz w:val="30"/>
          <w:szCs w:val="30"/>
        </w:rPr>
        <w:t>如何做好疫情期间青年学生的思想政治工作</w:t>
      </w:r>
      <w:r>
        <w:rPr>
          <w:rFonts w:hint="eastAsia" w:eastAsia="仿宋"/>
          <w:sz w:val="30"/>
          <w:szCs w:val="30"/>
        </w:rPr>
        <w:t>”</w:t>
      </w:r>
      <w:r>
        <w:rPr>
          <w:rFonts w:ascii="楷体" w:hAnsi="楷体" w:eastAsia="楷体"/>
          <w:sz w:val="30"/>
          <w:szCs w:val="30"/>
        </w:rPr>
        <w:t>“</w:t>
      </w:r>
      <w:r>
        <w:rPr>
          <w:rFonts w:hint="eastAsia" w:ascii="楷体" w:hAnsi="楷体" w:eastAsia="楷体"/>
          <w:sz w:val="30"/>
          <w:szCs w:val="30"/>
        </w:rPr>
        <w:t>如何对当代青年学生进行爱国主义教育</w:t>
      </w:r>
      <w:r>
        <w:rPr>
          <w:rFonts w:ascii="楷体" w:hAnsi="楷体" w:eastAsia="楷体"/>
          <w:sz w:val="30"/>
          <w:szCs w:val="30"/>
        </w:rPr>
        <w:t>”</w:t>
      </w:r>
      <w:r>
        <w:rPr>
          <w:rFonts w:hint="eastAsia" w:ascii="楷体" w:hAnsi="楷体" w:eastAsia="楷体"/>
          <w:sz w:val="30"/>
          <w:szCs w:val="30"/>
        </w:rPr>
        <w:t>“如何有效利用新媒体平台做好网络思想政治教育”</w:t>
      </w:r>
      <w:r>
        <w:rPr>
          <w:rFonts w:hint="eastAsia" w:ascii="仿宋_GB2312" w:eastAsia="仿宋_GB2312"/>
          <w:sz w:val="30"/>
          <w:szCs w:val="30"/>
        </w:rPr>
        <w:t>等主题进行网络集中研讨。</w:t>
      </w:r>
    </w:p>
    <w:p>
      <w:pPr>
        <w:spacing w:line="540" w:lineRule="exact"/>
        <w:ind w:firstLine="602" w:firstLineChars="200"/>
        <w:rPr>
          <w:rFonts w:eastAsia="仿宋"/>
          <w:color w:val="000000"/>
          <w:sz w:val="30"/>
          <w:szCs w:val="30"/>
        </w:rPr>
      </w:pPr>
      <w:r>
        <w:rPr>
          <w:rFonts w:eastAsia="仿宋"/>
          <w:b/>
          <w:bCs/>
          <w:color w:val="000000"/>
          <w:sz w:val="30"/>
          <w:szCs w:val="30"/>
        </w:rPr>
        <w:t xml:space="preserve">3. </w:t>
      </w:r>
      <w:r>
        <w:rPr>
          <w:rFonts w:hint="eastAsia" w:ascii="仿宋_GB2312" w:eastAsia="仿宋_GB2312"/>
          <w:b/>
          <w:bCs/>
          <w:color w:val="000000"/>
          <w:sz w:val="30"/>
          <w:szCs w:val="30"/>
        </w:rPr>
        <w:t>直播答疑：</w:t>
      </w:r>
      <w:r>
        <w:rPr>
          <w:rFonts w:hint="eastAsia" w:ascii="仿宋_GB2312" w:eastAsia="仿宋_GB2312"/>
          <w:color w:val="000000"/>
          <w:sz w:val="30"/>
          <w:szCs w:val="30"/>
        </w:rPr>
        <w:t>培训期间，邀约相关专家进行主题直播，同时邀请一线优秀高校思政工作同仁与学员进行在线答疑互动，共同探讨交流学员在疫情期间以及日常工作中遇到的各类问题。</w:t>
      </w:r>
    </w:p>
    <w:p>
      <w:pPr>
        <w:spacing w:line="540" w:lineRule="exact"/>
        <w:ind w:firstLine="602" w:firstLineChars="200"/>
        <w:rPr>
          <w:rFonts w:hint="eastAsia" w:eastAsia="仿宋"/>
          <w:sz w:val="30"/>
          <w:szCs w:val="30"/>
        </w:rPr>
      </w:pPr>
      <w:r>
        <w:rPr>
          <w:rFonts w:eastAsia="仿宋"/>
          <w:b/>
          <w:bCs/>
          <w:sz w:val="30"/>
          <w:szCs w:val="30"/>
        </w:rPr>
        <w:t xml:space="preserve">4. </w:t>
      </w:r>
      <w:r>
        <w:rPr>
          <w:rFonts w:hint="eastAsia" w:ascii="仿宋_GB2312" w:eastAsia="仿宋_GB2312"/>
          <w:b/>
          <w:bCs/>
          <w:sz w:val="30"/>
          <w:szCs w:val="30"/>
        </w:rPr>
        <w:t>心得撰写</w:t>
      </w:r>
      <w:r>
        <w:rPr>
          <w:rFonts w:eastAsia="仿宋"/>
          <w:b/>
          <w:bCs/>
          <w:sz w:val="30"/>
          <w:szCs w:val="30"/>
        </w:rPr>
        <w:t>：</w:t>
      </w:r>
      <w:r>
        <w:rPr>
          <w:rFonts w:hint="eastAsia" w:ascii="仿宋_GB2312" w:eastAsia="仿宋_GB2312"/>
          <w:sz w:val="30"/>
          <w:szCs w:val="30"/>
        </w:rPr>
        <w:t>培训期间，要求参训学员结合学习所得与岗位工作实际，提交一篇不少于</w:t>
      </w:r>
      <w:r>
        <w:rPr>
          <w:rFonts w:eastAsia="仿宋_GB2312"/>
          <w:sz w:val="30"/>
          <w:szCs w:val="30"/>
        </w:rPr>
        <w:t>1500</w:t>
      </w:r>
      <w:r>
        <w:rPr>
          <w:rFonts w:hint="eastAsia" w:ascii="仿宋_GB2312" w:eastAsia="仿宋_GB2312"/>
          <w:sz w:val="30"/>
          <w:szCs w:val="30"/>
        </w:rPr>
        <w:t>字的学生思想政治工作案例，运用理论知识分析产生问题的原因，并提出解决问题的方法与策略，促进所学知识向能力的转化，也为其他学员解决此类问题提供经验参考。优秀稿件可推送“学习强国”平台宣传展示。</w:t>
      </w:r>
    </w:p>
    <w:p>
      <w:pPr>
        <w:spacing w:line="540" w:lineRule="exact"/>
        <w:ind w:firstLine="600" w:firstLineChars="200"/>
        <w:jc w:val="left"/>
        <w:outlineLvl w:val="0"/>
        <w:rPr>
          <w:rFonts w:ascii="黑体" w:hAnsi="黑体" w:eastAsia="黑体"/>
          <w:kern w:val="0"/>
          <w:sz w:val="30"/>
          <w:szCs w:val="30"/>
        </w:rPr>
      </w:pPr>
      <w:r>
        <w:rPr>
          <w:rFonts w:hint="eastAsia" w:ascii="黑体" w:hAnsi="黑体" w:eastAsia="黑体"/>
          <w:kern w:val="0"/>
          <w:sz w:val="30"/>
          <w:szCs w:val="30"/>
        </w:rPr>
        <w:t>五</w:t>
      </w:r>
      <w:r>
        <w:rPr>
          <w:rFonts w:ascii="黑体" w:hAnsi="黑体" w:eastAsia="黑体"/>
          <w:kern w:val="0"/>
          <w:sz w:val="30"/>
          <w:szCs w:val="30"/>
        </w:rPr>
        <w:t>、培训考核</w:t>
      </w:r>
    </w:p>
    <w:p>
      <w:pPr>
        <w:spacing w:line="540" w:lineRule="exact"/>
        <w:ind w:firstLine="600" w:firstLineChars="200"/>
        <w:rPr>
          <w:rFonts w:hint="eastAsia" w:ascii="仿宋_GB2312" w:eastAsia="仿宋_GB2312"/>
          <w:sz w:val="30"/>
          <w:szCs w:val="30"/>
        </w:rPr>
      </w:pPr>
      <w:r>
        <w:rPr>
          <w:rFonts w:hint="eastAsia" w:ascii="仿宋_GB2312" w:eastAsia="仿宋_GB2312"/>
          <w:sz w:val="30"/>
          <w:szCs w:val="30"/>
        </w:rPr>
        <w:t>为确保培训质量和培训效果，确定了以“基于任务”和“关注过程”为原则的考核方法，培训从过程性与获得感两个维度对学员进行考核，完成各项培训考核要求的参训学员可在线打印学时证明，所学学时计入继续教育培训学时。</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3"/>
        <w:gridCol w:w="6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3" w:type="dxa"/>
            <w:noWrap w:val="0"/>
            <w:vAlign w:val="center"/>
          </w:tcPr>
          <w:p>
            <w:pPr>
              <w:spacing w:line="360" w:lineRule="auto"/>
              <w:contextualSpacing/>
              <w:jc w:val="center"/>
              <w:rPr>
                <w:rFonts w:hint="eastAsia" w:ascii="仿宋_GB2312" w:eastAsia="仿宋_GB2312"/>
                <w:b/>
                <w:sz w:val="24"/>
              </w:rPr>
            </w:pPr>
            <w:r>
              <w:rPr>
                <w:rFonts w:hint="eastAsia" w:ascii="仿宋_GB2312" w:eastAsia="仿宋_GB2312"/>
                <w:b/>
                <w:sz w:val="24"/>
              </w:rPr>
              <w:t>考核方式</w:t>
            </w:r>
          </w:p>
        </w:tc>
        <w:tc>
          <w:tcPr>
            <w:tcW w:w="6892" w:type="dxa"/>
            <w:noWrap w:val="0"/>
            <w:vAlign w:val="center"/>
          </w:tcPr>
          <w:p>
            <w:pPr>
              <w:spacing w:line="360" w:lineRule="auto"/>
              <w:contextualSpacing/>
              <w:jc w:val="center"/>
              <w:rPr>
                <w:rFonts w:hint="eastAsia" w:ascii="仿宋_GB2312" w:eastAsia="仿宋_GB2312"/>
                <w:b/>
                <w:sz w:val="24"/>
              </w:rPr>
            </w:pPr>
            <w:r>
              <w:rPr>
                <w:rFonts w:hint="eastAsia" w:ascii="仿宋_GB2312" w:eastAsia="仿宋_GB2312"/>
                <w:b/>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423" w:type="dxa"/>
            <w:vMerge w:val="restart"/>
            <w:noWrap w:val="0"/>
            <w:vAlign w:val="center"/>
          </w:tcPr>
          <w:p>
            <w:pPr>
              <w:contextualSpacing/>
              <w:jc w:val="center"/>
              <w:rPr>
                <w:rFonts w:hint="eastAsia" w:ascii="仿宋_GB2312" w:eastAsia="仿宋_GB2312"/>
                <w:sz w:val="24"/>
              </w:rPr>
            </w:pPr>
            <w:r>
              <w:rPr>
                <w:rFonts w:hint="eastAsia" w:ascii="仿宋_GB2312" w:eastAsia="仿宋_GB2312"/>
                <w:sz w:val="24"/>
              </w:rPr>
              <w:t>过程考核</w:t>
            </w:r>
          </w:p>
        </w:tc>
        <w:tc>
          <w:tcPr>
            <w:tcW w:w="6892" w:type="dxa"/>
            <w:noWrap w:val="0"/>
            <w:vAlign w:val="center"/>
          </w:tcPr>
          <w:p>
            <w:pPr>
              <w:contextualSpacing/>
              <w:rPr>
                <w:rFonts w:hint="eastAsia" w:eastAsia="仿宋_GB2312"/>
                <w:sz w:val="24"/>
              </w:rPr>
            </w:pPr>
            <w:r>
              <w:rPr>
                <w:rFonts w:hint="eastAsia" w:eastAsia="仿宋_GB2312"/>
                <w:sz w:val="24"/>
              </w:rPr>
              <w:t>每一模块自主选学视频课程不少于</w:t>
            </w:r>
            <w:r>
              <w:rPr>
                <w:rFonts w:eastAsia="仿宋_GB2312"/>
                <w:sz w:val="24"/>
              </w:rPr>
              <w:t>3</w:t>
            </w:r>
            <w:r>
              <w:rPr>
                <w:rFonts w:hint="eastAsia" w:eastAsia="仿宋_GB2312"/>
                <w:sz w:val="24"/>
              </w:rPr>
              <w:t>学时且总学时数不低于20学时。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423" w:type="dxa"/>
            <w:vMerge w:val="continue"/>
            <w:noWrap w:val="0"/>
            <w:vAlign w:val="center"/>
          </w:tcPr>
          <w:p>
            <w:pPr>
              <w:contextualSpacing/>
              <w:jc w:val="center"/>
              <w:rPr>
                <w:rFonts w:hint="eastAsia" w:ascii="仿宋_GB2312" w:eastAsia="仿宋_GB2312"/>
                <w:sz w:val="24"/>
              </w:rPr>
            </w:pPr>
          </w:p>
        </w:tc>
        <w:tc>
          <w:tcPr>
            <w:tcW w:w="6892" w:type="dxa"/>
            <w:noWrap w:val="0"/>
            <w:vAlign w:val="center"/>
          </w:tcPr>
          <w:p>
            <w:pPr>
              <w:snapToGrid w:val="0"/>
              <w:rPr>
                <w:rFonts w:hint="eastAsia" w:ascii="仿宋_GB2312" w:eastAsia="仿宋_GB2312"/>
                <w:sz w:val="24"/>
              </w:rPr>
            </w:pPr>
            <w:r>
              <w:rPr>
                <w:rFonts w:hint="eastAsia" w:ascii="仿宋_GB2312" w:eastAsia="仿宋_GB2312"/>
                <w:sz w:val="24"/>
              </w:rPr>
              <w:t>参加线上研讨不少于</w:t>
            </w:r>
            <w:r>
              <w:rPr>
                <w:rFonts w:hint="eastAsia" w:eastAsia="仿宋_GB2312"/>
                <w:sz w:val="24"/>
              </w:rPr>
              <w:t>2</w:t>
            </w:r>
            <w:r>
              <w:rPr>
                <w:rFonts w:hint="eastAsia" w:ascii="仿宋_GB2312" w:eastAsia="仿宋_GB2312"/>
                <w:sz w:val="24"/>
              </w:rPr>
              <w:t>次，参加本校组织的在线研讨。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423" w:type="dxa"/>
            <w:vMerge w:val="continue"/>
            <w:noWrap w:val="0"/>
            <w:vAlign w:val="center"/>
          </w:tcPr>
          <w:p>
            <w:pPr>
              <w:contextualSpacing/>
              <w:jc w:val="center"/>
              <w:rPr>
                <w:rFonts w:hint="eastAsia" w:ascii="仿宋_GB2312" w:eastAsia="仿宋_GB2312"/>
                <w:sz w:val="24"/>
              </w:rPr>
            </w:pPr>
          </w:p>
        </w:tc>
        <w:tc>
          <w:tcPr>
            <w:tcW w:w="6892" w:type="dxa"/>
            <w:noWrap w:val="0"/>
            <w:vAlign w:val="center"/>
          </w:tcPr>
          <w:p>
            <w:pPr>
              <w:snapToGrid w:val="0"/>
              <w:rPr>
                <w:rFonts w:hint="eastAsia" w:ascii="仿宋_GB2312" w:eastAsia="仿宋_GB2312"/>
                <w:sz w:val="24"/>
              </w:rPr>
            </w:pPr>
            <w:r>
              <w:rPr>
                <w:rFonts w:hint="eastAsia" w:ascii="仿宋_GB2312" w:eastAsia="仿宋_GB2312"/>
                <w:sz w:val="24"/>
              </w:rPr>
              <w:t>全程学习直播课程。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423" w:type="dxa"/>
            <w:noWrap w:val="0"/>
            <w:vAlign w:val="center"/>
          </w:tcPr>
          <w:p>
            <w:pPr>
              <w:contextualSpacing/>
              <w:jc w:val="center"/>
              <w:rPr>
                <w:rFonts w:hint="eastAsia" w:ascii="仿宋_GB2312" w:eastAsia="仿宋_GB2312"/>
                <w:sz w:val="24"/>
              </w:rPr>
            </w:pPr>
            <w:r>
              <w:rPr>
                <w:rFonts w:hint="eastAsia" w:ascii="仿宋_GB2312" w:eastAsia="仿宋_GB2312"/>
                <w:sz w:val="24"/>
              </w:rPr>
              <w:t>成果考核</w:t>
            </w:r>
          </w:p>
        </w:tc>
        <w:tc>
          <w:tcPr>
            <w:tcW w:w="6892" w:type="dxa"/>
            <w:noWrap w:val="0"/>
            <w:vAlign w:val="center"/>
          </w:tcPr>
          <w:p>
            <w:pPr>
              <w:rPr>
                <w:rFonts w:hint="eastAsia" w:ascii="仿宋_GB2312" w:eastAsia="仿宋_GB2312"/>
                <w:sz w:val="24"/>
              </w:rPr>
            </w:pPr>
            <w:r>
              <w:rPr>
                <w:rFonts w:hint="eastAsia" w:ascii="仿宋_GB2312" w:eastAsia="仿宋_GB2312"/>
                <w:sz w:val="24"/>
              </w:rPr>
              <w:t>提交一篇不少于</w:t>
            </w:r>
            <w:r>
              <w:rPr>
                <w:rFonts w:hint="eastAsia" w:eastAsia="仿宋_GB2312"/>
                <w:sz w:val="24"/>
              </w:rPr>
              <w:t>1500</w:t>
            </w:r>
            <w:r>
              <w:rPr>
                <w:rFonts w:hint="eastAsia" w:ascii="仿宋_GB2312" w:eastAsia="仿宋_GB2312"/>
                <w:sz w:val="24"/>
              </w:rPr>
              <w:t>字的学生思想政治工作案例，要求</w:t>
            </w:r>
            <w:r>
              <w:rPr>
                <w:rFonts w:hint="eastAsia" w:ascii="仿宋_GB2312" w:hAnsi="仿宋" w:eastAsia="仿宋_GB2312"/>
                <w:sz w:val="24"/>
              </w:rPr>
              <w:t>:</w:t>
            </w:r>
            <w:r>
              <w:rPr>
                <w:rFonts w:hint="eastAsia" w:ascii="仿宋_GB2312" w:eastAsia="仿宋_GB2312"/>
                <w:sz w:val="24"/>
              </w:rPr>
              <w:t>思想性强、主题鲜明、条理清晰、结构完整、逻辑严谨、内容详实，如发现抄袭等情况不予结业。</w:t>
            </w:r>
          </w:p>
        </w:tc>
      </w:tr>
    </w:tbl>
    <w:p>
      <w:pPr>
        <w:spacing w:line="540" w:lineRule="exact"/>
        <w:ind w:firstLine="600" w:firstLineChars="200"/>
        <w:jc w:val="left"/>
        <w:rPr>
          <w:rFonts w:hint="eastAsia" w:eastAsia="黑体"/>
          <w:kern w:val="0"/>
          <w:sz w:val="30"/>
          <w:szCs w:val="30"/>
        </w:rPr>
      </w:pPr>
      <w:r>
        <w:rPr>
          <w:rFonts w:hint="eastAsia" w:eastAsia="黑体"/>
          <w:kern w:val="0"/>
          <w:sz w:val="30"/>
          <w:szCs w:val="30"/>
        </w:rPr>
        <w:t>六、培训总结与评估</w:t>
      </w:r>
    </w:p>
    <w:p>
      <w:pPr>
        <w:spacing w:line="540" w:lineRule="exact"/>
        <w:ind w:firstLine="600" w:firstLineChars="200"/>
        <w:jc w:val="left"/>
        <w:outlineLvl w:val="0"/>
        <w:rPr>
          <w:rFonts w:hint="eastAsia" w:ascii="仿宋_GB2312" w:hAnsi="仿宋" w:eastAsia="仿宋_GB2312"/>
          <w:sz w:val="30"/>
          <w:szCs w:val="30"/>
        </w:rPr>
      </w:pPr>
      <w:r>
        <w:rPr>
          <w:rFonts w:hint="eastAsia" w:ascii="仿宋_GB2312" w:hAnsi="仿宋" w:eastAsia="仿宋_GB2312"/>
          <w:sz w:val="30"/>
          <w:szCs w:val="30"/>
        </w:rPr>
        <w:t>培训结束后，高校辅导员网络学院将收集整理各地培训总结和优秀工作案例，组织对培训工作和满意度进行评估，包括需求适配度、内容设计科学性、师资选配合理性、组织有序性等，进一步总结培训管理经验，为今后培训工作的开展奠定基础。</w:t>
      </w:r>
    </w:p>
    <w:p>
      <w:pPr>
        <w:spacing w:line="540" w:lineRule="exact"/>
        <w:ind w:firstLine="600" w:firstLineChars="200"/>
        <w:jc w:val="left"/>
        <w:outlineLvl w:val="0"/>
        <w:rPr>
          <w:rFonts w:eastAsia="黑体"/>
          <w:kern w:val="0"/>
          <w:sz w:val="30"/>
          <w:szCs w:val="30"/>
        </w:rPr>
      </w:pPr>
      <w:r>
        <w:rPr>
          <w:rFonts w:hint="eastAsia" w:eastAsia="黑体"/>
          <w:kern w:val="0"/>
          <w:sz w:val="30"/>
          <w:szCs w:val="30"/>
        </w:rPr>
        <w:t>七、组织管理与保障</w:t>
      </w:r>
    </w:p>
    <w:p>
      <w:pPr>
        <w:spacing w:line="540" w:lineRule="exact"/>
        <w:ind w:firstLine="600" w:firstLineChars="200"/>
        <w:rPr>
          <w:rFonts w:hint="eastAsia" w:ascii="仿宋_GB2312" w:hAnsi="仿宋" w:eastAsia="仿宋_GB2312"/>
          <w:sz w:val="30"/>
          <w:szCs w:val="30"/>
          <w:u w:val="none" w:color="000000"/>
          <w:lang w:val="zh-TW"/>
        </w:rPr>
      </w:pPr>
      <w:r>
        <w:rPr>
          <w:rFonts w:eastAsia="仿宋_GB2312"/>
          <w:sz w:val="30"/>
          <w:szCs w:val="30"/>
        </w:rPr>
        <w:t>1.</w:t>
      </w:r>
      <w:r>
        <w:rPr>
          <w:rFonts w:hint="eastAsia" w:ascii="仿宋_GB2312" w:hAnsi="仿宋" w:eastAsia="仿宋_GB2312"/>
          <w:sz w:val="30"/>
          <w:szCs w:val="30"/>
        </w:rPr>
        <w:t xml:space="preserve"> </w:t>
      </w:r>
      <w:r>
        <w:rPr>
          <w:rFonts w:hint="eastAsia" w:ascii="仿宋_GB2312" w:hAnsi="仿宋" w:eastAsia="仿宋_GB2312"/>
          <w:sz w:val="30"/>
          <w:szCs w:val="30"/>
          <w:lang w:val="zh-TW"/>
        </w:rPr>
        <w:t>培训由教育部思想政治工作司负责统筹规划与指导，委托国家教育行政学院组织实施。</w:t>
      </w:r>
      <w:r>
        <w:rPr>
          <w:rFonts w:hint="eastAsia" w:ascii="仿宋_GB2312" w:hAnsi="仿宋" w:eastAsia="仿宋_GB2312"/>
          <w:sz w:val="30"/>
          <w:szCs w:val="30"/>
        </w:rPr>
        <w:t>国家教育行政学院成立专项工作组，负责培训方案的设计与具体实施工作。</w:t>
      </w:r>
      <w:r>
        <w:rPr>
          <w:rFonts w:hint="eastAsia" w:ascii="仿宋_GB2312" w:hAnsi="仿宋" w:eastAsia="仿宋_GB2312"/>
          <w:sz w:val="30"/>
          <w:szCs w:val="30"/>
          <w:u w:val="none" w:color="000000"/>
          <w:lang w:val="zh-TW" w:eastAsia="zh-TW"/>
        </w:rPr>
        <w:t>各地党委教育工作部门</w:t>
      </w:r>
      <w:r>
        <w:rPr>
          <w:rFonts w:hint="eastAsia" w:ascii="仿宋_GB2312" w:hAnsi="仿宋" w:eastAsia="仿宋_GB2312"/>
          <w:sz w:val="30"/>
          <w:szCs w:val="30"/>
          <w:u w:val="none" w:color="000000"/>
          <w:lang w:val="zh-TW"/>
        </w:rPr>
        <w:t>负责统筹协调本地培训工作。</w:t>
      </w:r>
    </w:p>
    <w:p>
      <w:pPr>
        <w:spacing w:line="540" w:lineRule="exact"/>
        <w:ind w:firstLine="600" w:firstLineChars="200"/>
        <w:rPr>
          <w:rFonts w:hint="eastAsia" w:ascii="仿宋_GB2312" w:hAnsi="仿宋" w:eastAsia="仿宋_GB2312"/>
          <w:sz w:val="30"/>
          <w:szCs w:val="30"/>
        </w:rPr>
      </w:pPr>
      <w:r>
        <w:rPr>
          <w:rFonts w:eastAsia="仿宋_GB2312"/>
          <w:sz w:val="30"/>
          <w:szCs w:val="30"/>
        </w:rPr>
        <w:t>2.</w:t>
      </w:r>
      <w:r>
        <w:rPr>
          <w:rFonts w:hint="eastAsia" w:ascii="仿宋_GB2312" w:hAnsi="仿宋" w:eastAsia="仿宋_GB2312"/>
          <w:sz w:val="30"/>
          <w:szCs w:val="30"/>
        </w:rPr>
        <w:t xml:space="preserve"> 所有报名学员将按</w:t>
      </w:r>
      <w:r>
        <w:rPr>
          <w:rFonts w:hint="eastAsia" w:ascii="仿宋_GB2312" w:eastAsia="仿宋_GB2312"/>
          <w:color w:val="000000"/>
          <w:sz w:val="30"/>
          <w:szCs w:val="30"/>
          <w:u w:val="none" w:color="000000"/>
        </w:rPr>
        <w:t>省（自治区、直辖市）</w:t>
      </w:r>
      <w:r>
        <w:rPr>
          <w:rFonts w:hint="eastAsia" w:ascii="仿宋_GB2312" w:hAnsi="仿宋" w:eastAsia="仿宋_GB2312"/>
          <w:sz w:val="30"/>
          <w:szCs w:val="30"/>
        </w:rPr>
        <w:t>划片，省级党委教育工作部门联系人与国家教育行政学院相关老师沟通，酌情编班并确定班级管理员，课程在线研讨将分班开展。国家教育行政学院相关老师将牵头组建由省级联系人、班级管理员构成的省内培训工作</w:t>
      </w:r>
      <w:r>
        <w:rPr>
          <w:rFonts w:eastAsia="仿宋_GB2312"/>
          <w:sz w:val="30"/>
          <w:szCs w:val="30"/>
        </w:rPr>
        <w:t>QQ</w:t>
      </w:r>
      <w:r>
        <w:rPr>
          <w:rFonts w:hint="eastAsia" w:ascii="仿宋_GB2312" w:hAnsi="仿宋" w:eastAsia="仿宋_GB2312"/>
          <w:sz w:val="30"/>
          <w:szCs w:val="30"/>
        </w:rPr>
        <w:t>群，协作进行组织管理与督学促学工作。</w:t>
      </w:r>
    </w:p>
    <w:p>
      <w:pPr>
        <w:spacing w:line="540" w:lineRule="exact"/>
        <w:ind w:firstLine="600" w:firstLineChars="200"/>
        <w:rPr>
          <w:rFonts w:hint="eastAsia" w:ascii="仿宋_GB2312" w:hAnsi="仿宋" w:eastAsia="仿宋_GB2312"/>
          <w:sz w:val="30"/>
          <w:szCs w:val="30"/>
        </w:rPr>
      </w:pPr>
      <w:r>
        <w:rPr>
          <w:rFonts w:eastAsia="仿宋_GB2312"/>
          <w:sz w:val="30"/>
          <w:szCs w:val="30"/>
        </w:rPr>
        <w:t>3.</w:t>
      </w:r>
      <w:r>
        <w:rPr>
          <w:rFonts w:hint="eastAsia" w:ascii="仿宋_GB2312" w:hAnsi="仿宋" w:eastAsia="仿宋_GB2312"/>
          <w:sz w:val="30"/>
          <w:szCs w:val="30"/>
        </w:rPr>
        <w:t xml:space="preserve"> 为更好地做好培训服务支持工作，及时解决参训学员遇到的各类问题，学员除可以直接联系班级管理员外，还可通过以下方式咨询培训中遇到的相关问题。</w:t>
      </w:r>
    </w:p>
    <w:p>
      <w:pPr>
        <w:spacing w:line="540" w:lineRule="exact"/>
        <w:ind w:firstLine="600" w:firstLineChars="200"/>
        <w:rPr>
          <w:rFonts w:hint="eastAsia" w:ascii="仿宋" w:hAnsi="仿宋" w:eastAsia="仿宋"/>
          <w:sz w:val="30"/>
          <w:szCs w:val="30"/>
        </w:rPr>
      </w:pPr>
      <w:r>
        <w:rPr>
          <w:rFonts w:hint="eastAsia" w:ascii="仿宋" w:hAnsi="仿宋" w:eastAsia="仿宋"/>
          <w:sz w:val="30"/>
          <w:szCs w:val="30"/>
        </w:rPr>
        <w:t>（</w:t>
      </w:r>
      <w:r>
        <w:rPr>
          <w:rFonts w:eastAsia="仿宋"/>
          <w:sz w:val="30"/>
          <w:szCs w:val="30"/>
        </w:rPr>
        <w:t>1</w:t>
      </w:r>
      <w:r>
        <w:rPr>
          <w:rFonts w:hint="eastAsia" w:ascii="仿宋" w:hAnsi="仿宋" w:eastAsia="仿宋"/>
          <w:sz w:val="30"/>
          <w:szCs w:val="30"/>
        </w:rPr>
        <w:t>）直接拨打学员服务热线电话：</w:t>
      </w:r>
      <w:r>
        <w:rPr>
          <w:rFonts w:hint="eastAsia" w:eastAsia="仿宋"/>
          <w:sz w:val="30"/>
          <w:szCs w:val="30"/>
        </w:rPr>
        <w:t>400-811-9908</w:t>
      </w:r>
    </w:p>
    <w:p>
      <w:pPr>
        <w:spacing w:line="540" w:lineRule="exact"/>
        <w:ind w:firstLine="600" w:firstLineChars="200"/>
        <w:rPr>
          <w:rFonts w:hint="eastAsia" w:ascii="仿宋" w:hAnsi="仿宋" w:eastAsia="仿宋"/>
          <w:sz w:val="30"/>
          <w:szCs w:val="30"/>
        </w:rPr>
      </w:pPr>
      <w:r>
        <w:rPr>
          <w:rFonts w:hint="eastAsia" w:ascii="仿宋" w:hAnsi="仿宋" w:eastAsia="仿宋"/>
          <w:sz w:val="30"/>
          <w:szCs w:val="30"/>
        </w:rPr>
        <w:t>服务时间：上午</w:t>
      </w:r>
      <w:r>
        <w:rPr>
          <w:rFonts w:eastAsia="仿宋"/>
          <w:sz w:val="30"/>
          <w:szCs w:val="30"/>
        </w:rPr>
        <w:t>8:30-12:00</w:t>
      </w:r>
      <w:r>
        <w:rPr>
          <w:rFonts w:hint="eastAsia" w:ascii="仿宋" w:hAnsi="仿宋" w:eastAsia="仿宋"/>
          <w:sz w:val="30"/>
          <w:szCs w:val="30"/>
        </w:rPr>
        <w:t>；下午</w:t>
      </w:r>
      <w:r>
        <w:rPr>
          <w:rFonts w:eastAsia="仿宋"/>
          <w:sz w:val="30"/>
          <w:szCs w:val="30"/>
        </w:rPr>
        <w:t>13:00-22:00</w:t>
      </w:r>
      <w:r>
        <w:rPr>
          <w:rFonts w:hint="eastAsia" w:ascii="仿宋" w:hAnsi="仿宋" w:eastAsia="仿宋"/>
          <w:sz w:val="30"/>
          <w:szCs w:val="30"/>
        </w:rPr>
        <w:t>；周末及节假日照常值班</w:t>
      </w:r>
    </w:p>
    <w:p>
      <w:pPr>
        <w:spacing w:line="540" w:lineRule="exact"/>
        <w:ind w:firstLine="600" w:firstLineChars="200"/>
        <w:rPr>
          <w:rFonts w:hint="eastAsia" w:ascii="仿宋" w:hAnsi="仿宋" w:eastAsia="仿宋"/>
          <w:sz w:val="30"/>
          <w:szCs w:val="30"/>
        </w:rPr>
      </w:pPr>
      <w:r>
        <w:rPr>
          <w:rFonts w:eastAsia="仿宋"/>
          <w:sz w:val="30"/>
          <w:szCs w:val="30"/>
        </w:rPr>
        <w:t>（2）</w:t>
      </w:r>
      <w:r>
        <w:rPr>
          <w:rFonts w:hint="eastAsia" w:ascii="仿宋" w:hAnsi="仿宋" w:eastAsia="仿宋"/>
          <w:sz w:val="30"/>
          <w:szCs w:val="30"/>
        </w:rPr>
        <w:t>通过平台登录后的客服浮窗咨询学员服务老师：</w:t>
      </w:r>
    </w:p>
    <w:p>
      <w:pPr>
        <w:spacing w:line="540" w:lineRule="exact"/>
        <w:ind w:firstLine="600" w:firstLineChars="200"/>
        <w:rPr>
          <w:rFonts w:hint="eastAsia" w:ascii="仿宋" w:hAnsi="仿宋" w:eastAsia="仿宋"/>
          <w:sz w:val="30"/>
          <w:szCs w:val="30"/>
        </w:rPr>
      </w:pPr>
      <w:r>
        <w:rPr>
          <w:rFonts w:hint="eastAsia" w:ascii="仿宋" w:hAnsi="仿宋" w:eastAsia="仿宋"/>
          <w:sz w:val="30"/>
          <w:szCs w:val="30"/>
        </w:rPr>
        <w:t>周一至周五：上午</w:t>
      </w:r>
      <w:r>
        <w:rPr>
          <w:rFonts w:eastAsia="仿宋"/>
          <w:sz w:val="30"/>
          <w:szCs w:val="30"/>
        </w:rPr>
        <w:t>8:30-</w:t>
      </w:r>
      <w:r>
        <w:rPr>
          <w:rFonts w:hint="eastAsia" w:eastAsia="仿宋"/>
          <w:sz w:val="30"/>
          <w:szCs w:val="30"/>
        </w:rPr>
        <w:t>12:00</w:t>
      </w:r>
      <w:r>
        <w:rPr>
          <w:rFonts w:hint="eastAsia" w:ascii="仿宋" w:hAnsi="仿宋" w:eastAsia="仿宋"/>
          <w:sz w:val="30"/>
          <w:szCs w:val="30"/>
        </w:rPr>
        <w:t>，下午</w:t>
      </w:r>
      <w:r>
        <w:rPr>
          <w:rFonts w:hint="eastAsia" w:eastAsia="仿宋"/>
          <w:sz w:val="30"/>
          <w:szCs w:val="30"/>
        </w:rPr>
        <w:t>13:00</w:t>
      </w:r>
      <w:r>
        <w:rPr>
          <w:rFonts w:eastAsia="仿宋"/>
          <w:sz w:val="30"/>
          <w:szCs w:val="30"/>
        </w:rPr>
        <w:t>-1</w:t>
      </w:r>
      <w:r>
        <w:rPr>
          <w:rFonts w:hint="eastAsia" w:eastAsia="仿宋"/>
          <w:sz w:val="30"/>
          <w:szCs w:val="30"/>
        </w:rPr>
        <w:t>7:30</w:t>
      </w:r>
    </w:p>
    <w:p>
      <w:pPr>
        <w:spacing w:line="540" w:lineRule="exact"/>
        <w:ind w:firstLine="600" w:firstLineChars="200"/>
        <w:rPr>
          <w:rFonts w:ascii="楷体" w:hAnsi="楷体" w:eastAsia="楷体" w:cs="宋体"/>
          <w:bCs/>
          <w:kern w:val="0"/>
          <w:sz w:val="24"/>
        </w:rPr>
        <w:sectPr>
          <w:headerReference r:id="rId3" w:type="first"/>
          <w:footerReference r:id="rId4" w:type="default"/>
          <w:pgSz w:w="11906" w:h="16838"/>
          <w:pgMar w:top="1440" w:right="1800" w:bottom="1440" w:left="1800" w:header="851" w:footer="992" w:gutter="0"/>
          <w:pgNumType w:fmt="numberInDash"/>
          <w:cols w:space="720" w:num="1"/>
          <w:titlePg/>
          <w:docGrid w:type="lines" w:linePitch="312" w:charSpace="0"/>
        </w:sectPr>
      </w:pPr>
      <w:r>
        <w:rPr>
          <w:rFonts w:hint="eastAsia" w:ascii="仿宋" w:hAnsi="仿宋" w:eastAsia="仿宋"/>
          <w:sz w:val="30"/>
          <w:szCs w:val="30"/>
        </w:rPr>
        <w:t>（</w:t>
      </w:r>
      <w:r>
        <w:rPr>
          <w:rFonts w:eastAsia="仿宋"/>
          <w:sz w:val="30"/>
          <w:szCs w:val="30"/>
        </w:rPr>
        <w:t>3</w:t>
      </w:r>
      <w:r>
        <w:rPr>
          <w:rFonts w:hint="eastAsia" w:ascii="仿宋" w:hAnsi="仿宋" w:eastAsia="仿宋"/>
          <w:sz w:val="30"/>
          <w:szCs w:val="30"/>
        </w:rPr>
        <w:t>）通过平台登录后页面右侧的“平台操作咨询”窗口留言咨询。</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方正舒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w:t>
    </w:r>
    <w:r>
      <w:rPr>
        <w:rFonts w:ascii="仿宋" w:hAnsi="仿宋" w:eastAsia="仿宋"/>
        <w:sz w:val="28"/>
        <w:szCs w:val="28"/>
      </w:rPr>
      <w:t xml:space="preserve"> 9 -</w:t>
    </w:r>
    <w:r>
      <w:rPr>
        <w:rFonts w:ascii="仿宋" w:hAnsi="仿宋" w:eastAsia="仿宋"/>
        <w:sz w:val="28"/>
        <w:szCs w:val="28"/>
      </w:rPr>
      <w:fldChar w:fldCharType="end"/>
    </w:r>
  </w:p>
  <w:p>
    <w:pPr>
      <w:pStyle w:val="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B86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iPriority w:val="99"/>
    <w:pPr>
      <w:pBdr>
        <w:bottom w:val="single" w:color="auto" w:sz="6" w:space="1"/>
      </w:pBdr>
      <w:tabs>
        <w:tab w:val="center" w:pos="4153"/>
        <w:tab w:val="right" w:pos="8306"/>
      </w:tabs>
      <w:snapToGrid w:val="0"/>
      <w:jc w:val="center"/>
    </w:pPr>
    <w:rPr>
      <w:sz w:val="18"/>
      <w:szCs w:val="18"/>
    </w:rPr>
  </w:style>
  <w:style w:type="paragraph" w:customStyle="1" w:styleId="6">
    <w:name w:val="正文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2020-03-19T05:45:27Z</dcterms:created>
  <dc:creator>liuqing</dc:creator>
  <cp:lastModifiedBy>liuqing</cp:lastModifiedBy>
  <dcterms:modified xsi:type="dcterms:W3CDTF">2020-03-19T05:45:51Z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2052-11.1.0.9566</vt:lpwstr>
  </property>
</Properties>
</file>