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2020年度</w:t>
      </w:r>
    </w:p>
    <w:p>
      <w:pPr>
        <w:pStyle w:val="10"/>
        <w:jc w:val="center"/>
        <w:rPr>
          <w:sz w:val="84"/>
          <w:szCs w:val="84"/>
        </w:rPr>
      </w:pPr>
      <w:r>
        <w:rPr>
          <w:rFonts w:hint="eastAsia"/>
          <w:sz w:val="84"/>
          <w:szCs w:val="84"/>
          <w:lang w:eastAsia="zh-CN"/>
        </w:rPr>
        <w:t>湘南幼儿师范高等专科学校附属幼儿园</w:t>
      </w: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center"/>
        <w:rPr>
          <w:b/>
          <w:sz w:val="36"/>
          <w:szCs w:val="28"/>
        </w:rPr>
      </w:pPr>
    </w:p>
    <w:p>
      <w:pPr>
        <w:pStyle w:val="10"/>
        <w:spacing w:line="500" w:lineRule="exact"/>
        <w:jc w:val="center"/>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湘南幼儿师范高等专科学校附属幼儿园</w:t>
      </w:r>
      <w:r>
        <w:rPr>
          <w:rFonts w:hint="eastAsia"/>
          <w:b/>
          <w:sz w:val="28"/>
          <w:szCs w:val="28"/>
        </w:rPr>
        <w:t>概况</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r>
        <w:rPr>
          <w:sz w:val="84"/>
          <w:szCs w:val="84"/>
        </w:rPr>
        <w:t xml:space="preserve"> </w:t>
      </w:r>
    </w:p>
    <w:p>
      <w:pPr>
        <w:pStyle w:val="10"/>
        <w:jc w:val="center"/>
        <w:rPr>
          <w:sz w:val="84"/>
          <w:szCs w:val="84"/>
        </w:rPr>
      </w:pPr>
    </w:p>
    <w:p>
      <w:pPr>
        <w:pStyle w:val="10"/>
        <w:jc w:val="center"/>
        <w:rPr>
          <w:sz w:val="84"/>
          <w:szCs w:val="84"/>
        </w:rPr>
      </w:pPr>
      <w:r>
        <w:rPr>
          <w:rFonts w:hint="eastAsia"/>
          <w:sz w:val="84"/>
          <w:szCs w:val="84"/>
          <w:lang w:eastAsia="zh-CN"/>
        </w:rPr>
        <w:t>湘南幼儿师范高等专科学校附属幼儿园</w:t>
      </w: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rPr>
      </w:pPr>
      <w:r>
        <w:rPr>
          <w:rFonts w:hint="eastAsia" w:asciiTheme="minorEastAsia" w:hAnsiTheme="minorEastAsia"/>
          <w:bCs/>
          <w:kern w:val="0"/>
          <w:sz w:val="32"/>
          <w:szCs w:val="32"/>
        </w:rPr>
        <w:t>我园的主要职责是贯彻执行党和国家有关幼儿教育的方针、政策以及教育法规、规章，以《幼儿园工作规程》、《幼儿园教育指导纲要》、《3-6岁儿童学习与发展指南》为指导,为3-6岁学龄前儿童提供保育与教育服务，对幼儿实施德、智、体、美、劳诸方面全面发展的教育，促进其身心和谐发展。</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（一）内设机构设置。</w:t>
      </w:r>
      <w:r>
        <w:rPr>
          <w:rFonts w:hint="eastAsia" w:ascii="仿宋" w:hAnsi="仿宋" w:eastAsia="仿宋" w:cs="仿宋"/>
          <w:sz w:val="28"/>
          <w:szCs w:val="28"/>
        </w:rPr>
        <w:t>我</w:t>
      </w:r>
      <w:r>
        <w:rPr>
          <w:rFonts w:hint="eastAsia" w:asciiTheme="minorEastAsia" w:hAnsiTheme="minorEastAsia"/>
          <w:bCs/>
          <w:kern w:val="0"/>
          <w:sz w:val="32"/>
          <w:szCs w:val="32"/>
        </w:rPr>
        <w:t>园属全额拨款事业单位，2018年12月更名为湘南幼儿师范高等专科学校附属幼儿园,主管单位由郴州市商务局调整为湘南幼儿师范高等专科学校，共设一园两址（中心园和苏仙园）</w:t>
      </w:r>
      <w:r>
        <w:rPr>
          <w:rFonts w:hint="eastAsia" w:asciiTheme="minorEastAsia" w:hAnsiTheme="minorEastAsia"/>
          <w:bCs/>
          <w:kern w:val="0"/>
          <w:sz w:val="32"/>
          <w:szCs w:val="32"/>
          <w:lang w:eastAsia="zh-CN"/>
        </w:rPr>
        <w:t>。我园实有编制数39人。2020年底实有在编职工35人，退休职工25人，编外职工35人。我园设大、中、小三个年龄段12个班，共收托幼儿490名。</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湘南幼儿师范高等专科学校附属幼儿园</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w:t>
      </w:r>
      <w:r>
        <w:rPr>
          <w:rFonts w:hint="eastAsia" w:asciiTheme="minorEastAsia" w:hAnsiTheme="minorEastAsia"/>
          <w:bCs/>
          <w:kern w:val="0"/>
          <w:sz w:val="32"/>
          <w:szCs w:val="32"/>
          <w:lang w:eastAsia="zh-CN"/>
        </w:rPr>
        <w:t>湘南幼儿师范高等专科学校附属幼儿园</w:t>
      </w:r>
      <w:r>
        <w:rPr>
          <w:rFonts w:hint="eastAsia" w:asciiTheme="minorEastAsia" w:hAnsiTheme="minorEastAsia"/>
          <w:bCs/>
          <w:kern w:val="0"/>
          <w:sz w:val="32"/>
          <w:szCs w:val="32"/>
        </w:rPr>
        <w:t>本级</w:t>
      </w:r>
      <w:r>
        <w:rPr>
          <w:rFonts w:hint="eastAsia" w:asciiTheme="minorEastAsia" w:hAnsiTheme="minorEastAsia"/>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kern w:val="0"/>
                <w:sz w:val="22"/>
                <w:lang w:eastAsia="zh-CN"/>
              </w:rPr>
              <w:t>湘南幼儿师范高等专科学校附属幼儿园</w:t>
            </w:r>
            <w:r>
              <w:rPr>
                <w:rFonts w:hint="eastAsia" w:ascii="宋体" w:hAnsi="宋体" w:eastAsia="宋体" w:cs="宋体"/>
                <w:kern w:val="0"/>
                <w:sz w:val="22"/>
              </w:rPr>
              <w:t xml:space="preserve">  </w:t>
            </w:r>
            <w:r>
              <w:rPr>
                <w:rFonts w:hint="eastAsia" w:ascii="Times New Roman" w:hAnsi="Times New Roman" w:eastAsia="仿宋_GB2312" w:cs="Times New Roman"/>
                <w:color w:val="000000"/>
                <w:kern w:val="0"/>
                <w:szCs w:val="21"/>
              </w:rPr>
              <w:t xml:space="preserve"> </w:t>
            </w:r>
          </w:p>
        </w:tc>
        <w:tc>
          <w:tcPr>
            <w:tcW w:w="697"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660.40</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一、教育支出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586.40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三、社会保障和就业支出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56.88</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四、</w:t>
            </w:r>
            <w:r>
              <w:rPr>
                <w:rFonts w:hint="eastAsia" w:ascii="宋体" w:hAnsi="宋体" w:eastAsia="宋体" w:cs="宋体"/>
                <w:kern w:val="0"/>
                <w:sz w:val="22"/>
                <w:lang w:eastAsia="zh-CN"/>
              </w:rPr>
              <w:t>卫生健康支出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19.57</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531.76</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五、住房保障支出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26.57</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eastAsia="zh-CN"/>
              </w:rPr>
              <w:t>六、其他支出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376.15</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1192.16</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1065.57</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155.61</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81.57</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52.55</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1273.73</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2"/>
              </w:rPr>
            </w:pPr>
            <w:r>
              <w:rPr>
                <w:rFonts w:hint="eastAsia" w:ascii="宋体" w:hAnsi="宋体" w:eastAsia="宋体" w:cs="宋体"/>
                <w:b/>
                <w:bCs/>
                <w:kern w:val="0"/>
                <w:sz w:val="22"/>
                <w:lang w:val="en-US" w:eastAsia="zh-CN"/>
              </w:rPr>
              <w:t>1273.73</w:t>
            </w: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5428" w:type="dxa"/>
        <w:tblInd w:w="0" w:type="dxa"/>
        <w:tblLayout w:type="fixed"/>
        <w:tblCellMar>
          <w:top w:w="0" w:type="dxa"/>
          <w:left w:w="0" w:type="dxa"/>
          <w:bottom w:w="0" w:type="dxa"/>
          <w:right w:w="0" w:type="dxa"/>
        </w:tblCellMar>
      </w:tblPr>
      <w:tblGrid>
        <w:gridCol w:w="367"/>
        <w:gridCol w:w="467"/>
        <w:gridCol w:w="3820"/>
        <w:gridCol w:w="2617"/>
        <w:gridCol w:w="1145"/>
        <w:gridCol w:w="1145"/>
        <w:gridCol w:w="1145"/>
        <w:gridCol w:w="1145"/>
        <w:gridCol w:w="1145"/>
        <w:gridCol w:w="2432"/>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317" w:hRule="atLeast"/>
        </w:trPr>
        <w:tc>
          <w:tcPr>
            <w:tcW w:w="36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6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8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6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38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ascii="宋体" w:hAnsi="宋体" w:eastAsia="宋体" w:cs="宋体"/>
                <w:kern w:val="0"/>
                <w:sz w:val="22"/>
                <w:lang w:eastAsia="zh-CN"/>
              </w:rPr>
              <w:t>湘南幼儿师范高等专科学校附属幼儿园</w:t>
            </w:r>
            <w:r>
              <w:rPr>
                <w:rFonts w:hint="eastAsia" w:ascii="宋体" w:hAnsi="宋体" w:eastAsia="宋体" w:cs="宋体"/>
                <w:kern w:val="0"/>
                <w:sz w:val="22"/>
              </w:rPr>
              <w:t xml:space="preserve">  </w:t>
            </w:r>
            <w:r>
              <w:rPr>
                <w:rFonts w:hint="eastAsia"/>
              </w:rPr>
              <w:t>　</w:t>
            </w:r>
          </w:p>
        </w:tc>
        <w:tc>
          <w:tcPr>
            <w:tcW w:w="26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365" w:hRule="atLeast"/>
        </w:trPr>
        <w:tc>
          <w:tcPr>
            <w:tcW w:w="465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26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14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1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1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1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1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4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382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26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86" w:hRule="atLeast"/>
        </w:trPr>
        <w:tc>
          <w:tcPr>
            <w:tcW w:w="83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382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6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10" w:hRule="atLeast"/>
        </w:trPr>
        <w:tc>
          <w:tcPr>
            <w:tcW w:w="465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2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1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1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1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1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1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4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90" w:hRule="atLeast"/>
        </w:trPr>
        <w:tc>
          <w:tcPr>
            <w:tcW w:w="465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1192.16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660.40</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7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205</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教育支出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6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default"/>
                <w:lang w:val="en-US" w:eastAsia="zh-CN"/>
              </w:rPr>
            </w:pPr>
            <w:r>
              <w:rPr>
                <w:rFonts w:hint="eastAsia"/>
                <w:lang w:val="en-US" w:eastAsia="zh-CN"/>
              </w:rPr>
              <w:t>20502</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eastAsia="zh-CN"/>
              </w:rPr>
            </w:pPr>
            <w:r>
              <w:rPr>
                <w:rFonts w:hint="eastAsia"/>
                <w:lang w:eastAsia="zh-CN"/>
              </w:rPr>
              <w:t>普通教育</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0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2050201</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学前教育</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557.38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7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208</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社会保障和就业支出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9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20805</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行政事业单位离退休</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2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2080502</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事业单位离退休</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12.01</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12.01</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4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2080505</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机关事业单位基本养老保险缴费支出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35.43</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35.43</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4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default"/>
                <w:lang w:val="en-US" w:eastAsia="zh-CN"/>
              </w:rPr>
            </w:pPr>
            <w:r>
              <w:rPr>
                <w:rFonts w:hint="eastAsia"/>
                <w:lang w:val="en-US" w:eastAsia="zh-CN"/>
              </w:rPr>
              <w:t>2080506</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eastAsia="zh-CN"/>
              </w:rPr>
            </w:pPr>
            <w:r>
              <w:rPr>
                <w:rFonts w:hint="eastAsia"/>
                <w:lang w:eastAsia="zh-CN"/>
              </w:rPr>
              <w:t>机关事业单位职业年金缴费支出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9.44</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9.44</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7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210</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卫生健康支出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4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21011</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行政事业单位医疗</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6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2101102</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事业单位医疗</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18.82</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18.82</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4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2101199</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其他行政事业单位医疗支出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0.75</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0.75</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2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rPr>
              <w:t>221</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rPr>
              <w:t>住房保障支出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4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rPr>
              <w:t>22102</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rPr>
              <w:t>住房改革支出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07"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rPr>
              <w:t>2210201</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rPr>
              <w:t>住房公积金</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300"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229</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其他支出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29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22999</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其他支出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95" w:hRule="atLeast"/>
        </w:trPr>
        <w:tc>
          <w:tcPr>
            <w:tcW w:w="8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lang w:val="en-US" w:eastAsia="zh-CN"/>
              </w:rPr>
            </w:pPr>
            <w:r>
              <w:rPr>
                <w:rFonts w:hint="eastAsia"/>
                <w:lang w:val="en-US" w:eastAsia="zh-CN"/>
              </w:rPr>
              <w:t>2299901</w:t>
            </w:r>
          </w:p>
        </w:tc>
        <w:tc>
          <w:tcPr>
            <w:tcW w:w="38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lang w:val="en-US" w:eastAsia="zh-CN"/>
              </w:rPr>
            </w:pPr>
            <w:r>
              <w:rPr>
                <w:rFonts w:hint="eastAsia"/>
                <w:lang w:eastAsia="zh-CN"/>
              </w:rPr>
              <w:t>其他支出</w:t>
            </w:r>
          </w:p>
        </w:tc>
        <w:tc>
          <w:tcPr>
            <w:tcW w:w="26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531.76</w:t>
            </w: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520"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5"/>
        <w:tblpPr w:leftFromText="180" w:rightFromText="180" w:vertAnchor="text" w:horzAnchor="page" w:tblpX="768" w:tblpY="163"/>
        <w:tblOverlap w:val="never"/>
        <w:tblW w:w="14780" w:type="dxa"/>
        <w:tblInd w:w="0" w:type="dxa"/>
        <w:tblLayout w:type="fixed"/>
        <w:tblCellMar>
          <w:top w:w="0" w:type="dxa"/>
          <w:left w:w="108" w:type="dxa"/>
          <w:bottom w:w="0" w:type="dxa"/>
          <w:right w:w="108" w:type="dxa"/>
        </w:tblCellMar>
      </w:tblPr>
      <w:tblGrid>
        <w:gridCol w:w="1024"/>
        <w:gridCol w:w="240"/>
        <w:gridCol w:w="3690"/>
        <w:gridCol w:w="236"/>
        <w:gridCol w:w="1654"/>
        <w:gridCol w:w="896"/>
        <w:gridCol w:w="424"/>
        <w:gridCol w:w="916"/>
        <w:gridCol w:w="614"/>
        <w:gridCol w:w="1356"/>
        <w:gridCol w:w="354"/>
        <w:gridCol w:w="1610"/>
        <w:gridCol w:w="66"/>
        <w:gridCol w:w="1634"/>
        <w:gridCol w:w="66"/>
      </w:tblGrid>
      <w:tr>
        <w:tblPrEx>
          <w:tblCellMar>
            <w:top w:w="0" w:type="dxa"/>
            <w:left w:w="108" w:type="dxa"/>
            <w:bottom w:w="0" w:type="dxa"/>
            <w:right w:w="108" w:type="dxa"/>
          </w:tblCellMar>
        </w:tblPrEx>
        <w:trPr>
          <w:gridAfter w:val="1"/>
          <w:wAfter w:w="66" w:type="dxa"/>
          <w:trHeight w:val="90" w:hRule="atLeast"/>
        </w:trPr>
        <w:tc>
          <w:tcPr>
            <w:tcW w:w="14714" w:type="dxa"/>
            <w:gridSpan w:val="14"/>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285" w:hRule="atLeast"/>
        </w:trPr>
        <w:tc>
          <w:tcPr>
            <w:tcW w:w="102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7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30"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gridAfter w:val="1"/>
          <w:wAfter w:w="66" w:type="dxa"/>
          <w:trHeight w:val="468" w:hRule="atLeast"/>
        </w:trPr>
        <w:tc>
          <w:tcPr>
            <w:tcW w:w="1024"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90" w:type="dxa"/>
            <w:tcBorders>
              <w:top w:val="nil"/>
              <w:left w:val="nil"/>
              <w:bottom w:val="nil"/>
              <w:right w:val="nil"/>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lang w:eastAsia="zh-CN"/>
              </w:rPr>
              <w:t>湘南幼儿师范高等专科学校附属幼儿园</w:t>
            </w:r>
            <w:r>
              <w:rPr>
                <w:rFonts w:hint="eastAsia" w:ascii="宋体" w:hAnsi="宋体" w:eastAsia="宋体" w:cs="宋体"/>
                <w:color w:val="000000"/>
                <w:kern w:val="0"/>
                <w:sz w:val="20"/>
                <w:szCs w:val="20"/>
              </w:rPr>
              <w:t xml:space="preserve">  </w:t>
            </w:r>
            <w:r>
              <w:rPr>
                <w:rFonts w:hint="eastAsia" w:ascii="Times New Roman" w:hAnsi="Times New Roman" w:eastAsia="仿宋_GB2312" w:cs="Times New Roman"/>
                <w:color w:val="000000"/>
                <w:kern w:val="0"/>
                <w:szCs w:val="21"/>
              </w:rPr>
              <w:t xml:space="preserve">        </w:t>
            </w:r>
            <w:r>
              <w:rPr>
                <w:rFonts w:hint="eastAsia" w:ascii="宋体" w:hAnsi="宋体" w:eastAsia="宋体" w:cs="宋体"/>
                <w:kern w:val="0"/>
                <w:sz w:val="24"/>
                <w:szCs w:val="24"/>
              </w:rPr>
              <w:t>　</w:t>
            </w:r>
          </w:p>
        </w:tc>
        <w:tc>
          <w:tcPr>
            <w:tcW w:w="189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2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0" w:type="dxa"/>
            <w:gridSpan w:val="2"/>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After w:val="1"/>
          <w:wAfter w:w="66" w:type="dxa"/>
          <w:trHeight w:val="240" w:hRule="atLeast"/>
        </w:trPr>
        <w:tc>
          <w:tcPr>
            <w:tcW w:w="495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9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3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1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70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gridAfter w:val="1"/>
          <w:wAfter w:w="66" w:type="dxa"/>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69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9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12"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69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9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0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70" w:hRule="atLeast"/>
        </w:trPr>
        <w:tc>
          <w:tcPr>
            <w:tcW w:w="495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9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2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3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1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1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0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gridAfter w:val="1"/>
          <w:wAfter w:w="66" w:type="dxa"/>
          <w:trHeight w:val="260" w:hRule="atLeast"/>
        </w:trPr>
        <w:tc>
          <w:tcPr>
            <w:tcW w:w="495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1065.57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934.14</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131.43</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gridAfter w:val="1"/>
          <w:wAfter w:w="66" w:type="dxa"/>
          <w:trHeight w:val="32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205</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教育支出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586.40</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454.97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131.43</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gridAfter w:val="1"/>
          <w:wAfter w:w="66" w:type="dxa"/>
          <w:trHeight w:val="30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20502</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普通教育</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572.51</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454.97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117.54</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gridAfter w:val="1"/>
          <w:wAfter w:w="66" w:type="dxa"/>
          <w:trHeight w:val="36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2050201</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学前教育</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572.51</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454.97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117.54</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1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lang w:val="en-US" w:eastAsia="zh-CN"/>
              </w:rPr>
            </w:pPr>
            <w:r>
              <w:rPr>
                <w:rFonts w:hint="eastAsia"/>
                <w:lang w:val="en-US" w:eastAsia="zh-CN"/>
              </w:rPr>
              <w:t>20509</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lang w:eastAsia="zh-CN"/>
              </w:rPr>
            </w:pPr>
            <w:r>
              <w:rPr>
                <w:rFonts w:hint="eastAsia"/>
                <w:lang w:eastAsia="zh-CN"/>
              </w:rPr>
              <w:t>教育费附加安排的支出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13.89</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4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lang w:val="en-US" w:eastAsia="zh-CN"/>
              </w:rPr>
            </w:pPr>
            <w:r>
              <w:rPr>
                <w:rFonts w:hint="eastAsia"/>
                <w:lang w:val="en-US" w:eastAsia="zh-CN"/>
              </w:rPr>
              <w:t>2050999</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lang w:eastAsia="zh-CN"/>
              </w:rPr>
            </w:pPr>
            <w:r>
              <w:rPr>
                <w:rFonts w:hint="eastAsia"/>
                <w:lang w:eastAsia="zh-CN"/>
              </w:rPr>
              <w:t>其他教育附加安排的支出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13.89</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3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社会保障和就业支出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2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行政事业单位离退休</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56.88</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8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2080502</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事业单位离退休</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12.01</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12.01</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4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35.43</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35.43</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7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2080506</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机关事业单位职业年金缴费支出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9.44</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9.44</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4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6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行政事业单位医疗</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3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2101102</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事业单位医疗</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18.82</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18.82</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7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2101199</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其他行政事业单位医疗支出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0.75</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0.75</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9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住房保障支出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gridAfter w:val="1"/>
          <w:wAfter w:w="66" w:type="dxa"/>
          <w:trHeight w:val="30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22102</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住房改革支出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1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2210201</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住房公积金</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26.57</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7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229</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376.15</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376.15</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28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22999</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376.15</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376.15</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gridAfter w:val="1"/>
          <w:wAfter w:w="66" w:type="dxa"/>
          <w:trHeight w:val="36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2299901</w:t>
            </w:r>
          </w:p>
        </w:tc>
        <w:tc>
          <w:tcPr>
            <w:tcW w:w="3690" w:type="dxa"/>
            <w:tcBorders>
              <w:top w:val="nil"/>
              <w:left w:val="nil"/>
              <w:bottom w:val="single" w:color="auto" w:sz="4" w:space="0"/>
              <w:right w:val="single" w:color="auto" w:sz="4" w:space="0"/>
            </w:tcBorders>
            <w:shd w:val="clear" w:color="000000" w:fill="FFFFFF"/>
            <w:noWrap/>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其他支出</w:t>
            </w:r>
          </w:p>
        </w:tc>
        <w:tc>
          <w:tcPr>
            <w:tcW w:w="189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376.15</w:t>
            </w:r>
          </w:p>
        </w:tc>
        <w:tc>
          <w:tcPr>
            <w:tcW w:w="132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376.15</w:t>
            </w:r>
          </w:p>
        </w:tc>
        <w:tc>
          <w:tcPr>
            <w:tcW w:w="153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p>
        </w:tc>
        <w:tc>
          <w:tcPr>
            <w:tcW w:w="171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0"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gridAfter w:val="1"/>
          <w:wAfter w:w="66" w:type="dxa"/>
          <w:trHeight w:val="390" w:hRule="atLeast"/>
        </w:trPr>
        <w:tc>
          <w:tcPr>
            <w:tcW w:w="14714" w:type="dxa"/>
            <w:gridSpan w:val="14"/>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rPr>
          <w:rFonts w:ascii="Times New Roman" w:hAnsi="Times New Roman" w:eastAsia="方正小标宋_GBK" w:cs="Times New Roman"/>
          <w:color w:val="000000"/>
          <w:kern w:val="0"/>
          <w:sz w:val="36"/>
          <w:szCs w:val="36"/>
        </w:rPr>
      </w:pPr>
    </w:p>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：湘南幼儿师范高等专科学校附属幼儿园</w:t>
            </w:r>
            <w:r>
              <w:rPr>
                <w:rFonts w:hint="eastAsia" w:ascii="宋体" w:hAnsi="宋体" w:eastAsia="宋体" w:cs="宋体"/>
                <w:color w:val="000000"/>
                <w:kern w:val="0"/>
                <w:sz w:val="20"/>
                <w:szCs w:val="20"/>
              </w:rPr>
              <w:t xml:space="preserve"> </w:t>
            </w:r>
            <w:r>
              <w:rPr>
                <w:rFonts w:hint="eastAsia" w:ascii="Times New Roman" w:hAnsi="Times New Roman" w:eastAsia="仿宋_GB2312" w:cs="Times New Roman"/>
                <w:color w:val="000000"/>
                <w:kern w:val="0"/>
                <w:szCs w:val="21"/>
              </w:rPr>
              <w:t xml:space="preserve">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9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660.40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一、教育支出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586.40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586.40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三、社会保障和就业支出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四、</w:t>
            </w:r>
            <w:r>
              <w:rPr>
                <w:rFonts w:hint="eastAsia" w:ascii="宋体" w:hAnsi="宋体" w:eastAsia="宋体" w:cs="宋体"/>
                <w:kern w:val="0"/>
                <w:sz w:val="22"/>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19.57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19.57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五、住房保障支出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26.57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26.57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660.40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689.42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689.42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81.57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52.55</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52.55</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81.57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741.97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741.97</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741.97</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both"/>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color w:val="000000"/>
          <w:kern w:val="0"/>
          <w:sz w:val="20"/>
          <w:szCs w:val="20"/>
          <w:lang w:eastAsia="zh-CN"/>
        </w:rPr>
        <w:t>湘南幼儿师范高等专科学校附属幼儿园</w:t>
      </w:r>
      <w:r>
        <w:rPr>
          <w:rFonts w:hint="eastAsia" w:ascii="宋体" w:hAnsi="宋体" w:eastAsia="宋体" w:cs="宋体"/>
          <w:color w:val="000000"/>
          <w:kern w:val="0"/>
          <w:sz w:val="20"/>
          <w:szCs w:val="20"/>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                        </w:t>
      </w:r>
      <w:r>
        <w:rPr>
          <w:rFonts w:hint="eastAsia" w:ascii="Times New Roman" w:hAnsi="Times New Roman" w:eastAsia="仿宋_GB2312" w:cs="Times New Roman"/>
          <w:color w:val="000000"/>
          <w:kern w:val="0"/>
          <w:szCs w:val="21"/>
          <w:lang w:val="en-US" w:eastAsia="zh-CN"/>
        </w:rPr>
        <w:t xml:space="preserve">        </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631"/>
        <w:gridCol w:w="2896"/>
        <w:gridCol w:w="3492"/>
        <w:gridCol w:w="3000"/>
      </w:tblGrid>
      <w:tr>
        <w:tblPrEx>
          <w:tblCellMar>
            <w:top w:w="0" w:type="dxa"/>
            <w:left w:w="108" w:type="dxa"/>
            <w:bottom w:w="0" w:type="dxa"/>
            <w:right w:w="108" w:type="dxa"/>
          </w:tblCellMar>
        </w:tblPrEx>
        <w:trPr>
          <w:trHeight w:val="405" w:hRule="atLeast"/>
          <w:jc w:val="center"/>
        </w:trPr>
        <w:tc>
          <w:tcPr>
            <w:tcW w:w="4831"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388"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63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63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63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40" w:hRule="atLeast"/>
          <w:jc w:val="center"/>
        </w:trPr>
        <w:tc>
          <w:tcPr>
            <w:tcW w:w="483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300" w:hRule="atLeast"/>
          <w:jc w:val="center"/>
        </w:trPr>
        <w:tc>
          <w:tcPr>
            <w:tcW w:w="483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689.42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557.99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131.43</w:t>
            </w:r>
          </w:p>
        </w:tc>
      </w:tr>
      <w:tr>
        <w:tblPrEx>
          <w:tblCellMar>
            <w:top w:w="0" w:type="dxa"/>
            <w:left w:w="108" w:type="dxa"/>
            <w:bottom w:w="0" w:type="dxa"/>
            <w:right w:w="108" w:type="dxa"/>
          </w:tblCellMar>
        </w:tblPrEx>
        <w:trPr>
          <w:trHeight w:val="38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205</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教育支出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586.40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454.97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131.43</w:t>
            </w:r>
          </w:p>
        </w:tc>
      </w:tr>
      <w:tr>
        <w:tblPrEx>
          <w:tblCellMar>
            <w:top w:w="0" w:type="dxa"/>
            <w:left w:w="108" w:type="dxa"/>
            <w:bottom w:w="0" w:type="dxa"/>
            <w:right w:w="108" w:type="dxa"/>
          </w:tblCellMar>
        </w:tblPrEx>
        <w:trPr>
          <w:trHeight w:val="9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20502</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普通教育</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572.51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454.97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117.54</w:t>
            </w:r>
          </w:p>
        </w:tc>
      </w:tr>
      <w:tr>
        <w:tblPrEx>
          <w:tblCellMar>
            <w:top w:w="0" w:type="dxa"/>
            <w:left w:w="108" w:type="dxa"/>
            <w:bottom w:w="0" w:type="dxa"/>
            <w:right w:w="108" w:type="dxa"/>
          </w:tblCellMar>
        </w:tblPrEx>
        <w:trPr>
          <w:trHeight w:val="28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2050201</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学前教育</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572.51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454.97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117.54</w:t>
            </w:r>
          </w:p>
        </w:tc>
      </w:tr>
      <w:tr>
        <w:tblPrEx>
          <w:tblCellMar>
            <w:top w:w="0" w:type="dxa"/>
            <w:left w:w="108" w:type="dxa"/>
            <w:bottom w:w="0" w:type="dxa"/>
            <w:right w:w="108" w:type="dxa"/>
          </w:tblCellMar>
        </w:tblPrEx>
        <w:trPr>
          <w:trHeight w:val="29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20509</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教育费附加安排的支出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r>
      <w:tr>
        <w:tblPrEx>
          <w:tblCellMar>
            <w:top w:w="0" w:type="dxa"/>
            <w:left w:w="108" w:type="dxa"/>
            <w:bottom w:w="0" w:type="dxa"/>
            <w:right w:w="108" w:type="dxa"/>
          </w:tblCellMar>
        </w:tblPrEx>
        <w:trPr>
          <w:trHeight w:val="2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2050999</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其他教育附加安排的支出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13.89</w:t>
            </w:r>
          </w:p>
        </w:tc>
      </w:tr>
      <w:tr>
        <w:tblPrEx>
          <w:tblCellMar>
            <w:top w:w="0" w:type="dxa"/>
            <w:left w:w="108" w:type="dxa"/>
            <w:bottom w:w="0" w:type="dxa"/>
            <w:right w:w="108" w:type="dxa"/>
          </w:tblCellMar>
        </w:tblPrEx>
        <w:trPr>
          <w:trHeight w:val="2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社会保障和就业支出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32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行政事业单位离退休</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56.88</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2080502</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事业单位离退休</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12.01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12.01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8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35.43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35.43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7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2080506</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机关事业单位职业年金缴费支出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9.44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9.44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2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行政事业单位医疗</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19.57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32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2101102</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事业单位医疗</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2101199</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其他行政事业单位医疗支出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0.75</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0.75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1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住房保障支出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29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22102</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住房改革支出</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32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rPr>
              <w:t>2210201</w:t>
            </w:r>
          </w:p>
        </w:tc>
        <w:tc>
          <w:tcPr>
            <w:tcW w:w="3631" w:type="dxa"/>
            <w:tcBorders>
              <w:top w:val="nil"/>
              <w:left w:val="nil"/>
              <w:bottom w:val="single" w:color="auto" w:sz="4" w:space="0"/>
              <w:right w:val="single" w:color="auto" w:sz="4" w:space="0"/>
            </w:tcBorders>
            <w:shd w:val="clear" w:color="auto" w:fill="auto"/>
            <w:vAlign w:val="center"/>
          </w:tcPr>
          <w:p>
            <w:pPr>
              <w:jc w:val="left"/>
              <w:rPr>
                <w:rFonts w:hint="eastAsia" w:asciiTheme="minorHAnsi" w:hAnsiTheme="minorHAnsi" w:eastAsiaTheme="minorEastAsia" w:cstheme="minorBidi"/>
                <w:kern w:val="2"/>
                <w:sz w:val="21"/>
                <w:szCs w:val="22"/>
                <w:lang w:val="en-US" w:eastAsia="zh-CN" w:bidi="ar-SA"/>
              </w:rPr>
            </w:pPr>
            <w:r>
              <w:rPr>
                <w:rFonts w:hint="eastAsia"/>
              </w:rPr>
              <w:t>住房公积金</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26.57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49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tbl>
      <w:tblPr>
        <w:tblStyle w:val="5"/>
        <w:tblpPr w:leftFromText="180" w:rightFromText="180" w:vertAnchor="text" w:horzAnchor="page" w:tblpX="829" w:tblpY="-75"/>
        <w:tblOverlap w:val="never"/>
        <w:tblW w:w="15748" w:type="dxa"/>
        <w:tblInd w:w="0" w:type="dxa"/>
        <w:tblLayout w:type="autofit"/>
        <w:tblCellMar>
          <w:top w:w="0" w:type="dxa"/>
          <w:left w:w="108" w:type="dxa"/>
          <w:bottom w:w="0" w:type="dxa"/>
          <w:right w:w="108" w:type="dxa"/>
        </w:tblCellMar>
      </w:tblPr>
      <w:tblGrid>
        <w:gridCol w:w="1301"/>
        <w:gridCol w:w="3209"/>
        <w:gridCol w:w="1158"/>
        <w:gridCol w:w="1161"/>
        <w:gridCol w:w="2256"/>
        <w:gridCol w:w="983"/>
        <w:gridCol w:w="940"/>
        <w:gridCol w:w="3670"/>
        <w:gridCol w:w="1070"/>
      </w:tblGrid>
      <w:tr>
        <w:tblPrEx>
          <w:tblCellMar>
            <w:top w:w="0" w:type="dxa"/>
            <w:left w:w="108" w:type="dxa"/>
            <w:bottom w:w="0" w:type="dxa"/>
            <w:right w:w="108" w:type="dxa"/>
          </w:tblCellMar>
        </w:tblPrEx>
        <w:trPr>
          <w:trHeight w:val="1158" w:hRule="atLeast"/>
        </w:trPr>
        <w:tc>
          <w:tcPr>
            <w:tcW w:w="15748"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lang w:eastAsia="zh-CN"/>
              </w:rPr>
              <w:t>湘南幼儿师范高等专科学校附属幼儿园</w:t>
            </w:r>
            <w:r>
              <w:rPr>
                <w:rFonts w:hint="eastAsia" w:ascii="宋体" w:hAnsi="宋体" w:eastAsia="宋体" w:cs="宋体"/>
                <w:color w:val="000000"/>
                <w:kern w:val="0"/>
                <w:sz w:val="20"/>
                <w:szCs w:val="20"/>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716" w:hRule="atLeast"/>
        </w:trPr>
        <w:tc>
          <w:tcPr>
            <w:tcW w:w="13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435.77</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31.3</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117.82</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1.98</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3.92</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0.50</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30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99.29</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25.79</w:t>
            </w:r>
          </w:p>
        </w:tc>
      </w:tr>
      <w:tr>
        <w:tblPrEx>
          <w:tblCellMar>
            <w:top w:w="0" w:type="dxa"/>
            <w:left w:w="108" w:type="dxa"/>
            <w:bottom w:w="0" w:type="dxa"/>
            <w:right w:w="108" w:type="dxa"/>
          </w:tblCellMar>
        </w:tblPrEx>
        <w:trPr>
          <w:trHeight w:val="32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0.08</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103.27</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1.44</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0.87</w:t>
            </w: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29.75</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6.71</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23.76</w:t>
            </w: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9.44</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1.31</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rPr>
            </w:pPr>
          </w:p>
          <w:p>
            <w:pPr>
              <w:widowControl/>
              <w:jc w:val="center"/>
              <w:rPr>
                <w:rFonts w:hint="default" w:ascii="宋体" w:hAnsi="宋体" w:eastAsia="宋体" w:cs="宋体"/>
                <w:color w:val="000000"/>
                <w:kern w:val="0"/>
                <w:szCs w:val="20"/>
                <w:lang w:val="en-US" w:eastAsia="zh-CN"/>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23.00</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10.33</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3.75</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1.60</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4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35.03</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0.09</w:t>
            </w:r>
          </w:p>
          <w:p>
            <w:pPr>
              <w:widowControl/>
              <w:jc w:val="center"/>
              <w:rPr>
                <w:rFonts w:hint="default" w:ascii="宋体" w:hAnsi="宋体" w:eastAsia="宋体" w:cs="宋体"/>
                <w:color w:val="000000"/>
                <w:kern w:val="0"/>
                <w:szCs w:val="20"/>
                <w:lang w:val="en-US" w:eastAsia="zh-CN"/>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65.13</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0.44</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65.13</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3.83</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1.16</w:t>
            </w:r>
          </w:p>
        </w:tc>
      </w:tr>
      <w:tr>
        <w:tblPrEx>
          <w:tblCellMar>
            <w:top w:w="0" w:type="dxa"/>
            <w:left w:w="108" w:type="dxa"/>
            <w:bottom w:w="0" w:type="dxa"/>
            <w:right w:w="108" w:type="dxa"/>
          </w:tblCellMar>
        </w:tblPrEx>
        <w:trPr>
          <w:trHeight w:val="26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0.74</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4.43</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0.22</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0.06</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24" w:hRule="exact"/>
        </w:trPr>
        <w:tc>
          <w:tcPr>
            <w:tcW w:w="13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8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8.04</w:t>
            </w:r>
          </w:p>
        </w:tc>
        <w:tc>
          <w:tcPr>
            <w:tcW w:w="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51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58"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500.9</w:t>
            </w:r>
          </w:p>
        </w:tc>
        <w:tc>
          <w:tcPr>
            <w:tcW w:w="901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7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57.09</w:t>
            </w:r>
          </w:p>
        </w:tc>
      </w:tr>
      <w:tr>
        <w:tblPrEx>
          <w:tblCellMar>
            <w:top w:w="0" w:type="dxa"/>
            <w:left w:w="108" w:type="dxa"/>
            <w:bottom w:w="0" w:type="dxa"/>
            <w:right w:w="108" w:type="dxa"/>
          </w:tblCellMar>
        </w:tblPrEx>
        <w:trPr>
          <w:trHeight w:val="284" w:hRule="exact"/>
        </w:trPr>
        <w:tc>
          <w:tcPr>
            <w:tcW w:w="15748" w:type="dxa"/>
            <w:gridSpan w:val="9"/>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lang w:eastAsia="zh-CN"/>
        </w:rPr>
        <w:t>湘南幼儿师范高等专科学校附属幼儿园</w:t>
      </w:r>
      <w:r>
        <w:rPr>
          <w:rFonts w:hint="eastAsia" w:ascii="宋体" w:hAnsi="宋体" w:eastAsia="宋体" w:cs="宋体"/>
          <w:color w:val="000000"/>
          <w:kern w:val="0"/>
          <w:sz w:val="20"/>
          <w:szCs w:val="20"/>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 xml:space="preserve">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p>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0.6</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0.6</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nil"/>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single" w:color="auto" w:sz="4" w:space="0"/>
              <w:bottom w:val="single" w:color="auto" w:sz="8" w:space="0"/>
              <w:right w:val="single" w:color="auto" w:sz="8"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bl>
    <w:p>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pPr>
        <w:autoSpaceDE w:val="0"/>
        <w:autoSpaceDN w:val="0"/>
        <w:adjustRightInd w:val="0"/>
        <w:ind w:left="315" w:leftChars="150"/>
        <w:jc w:val="left"/>
        <w:rPr>
          <w:rFonts w:ascii="宋体" w:eastAsia="宋体" w:cs="宋体"/>
          <w:kern w:val="0"/>
          <w:sz w:val="24"/>
          <w:szCs w:val="24"/>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pPr>
              <w:widowControl/>
              <w:jc w:val="left"/>
              <w:rPr>
                <w:rFonts w:ascii="Times New Roman" w:hAnsi="Times New Roman" w:eastAsia="仿宋_GB2312" w:cs="Times New Roman"/>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pPr>
        <w:pStyle w:val="10"/>
        <w:rPr>
          <w:sz w:val="72"/>
          <w:szCs w:val="72"/>
        </w:rPr>
        <w:sectPr>
          <w:pgSz w:w="16838" w:h="11906" w:orient="landscape"/>
          <w:pgMar w:top="550" w:right="720" w:bottom="550" w:left="720" w:header="851" w:footer="992" w:gutter="0"/>
          <w:cols w:space="0" w:num="1"/>
          <w:rtlGutter w:val="0"/>
          <w:docGrid w:type="lines" w:linePitch="312" w:charSpace="0"/>
        </w:sect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w:t>
      </w:r>
      <w:r>
        <w:rPr>
          <w:rFonts w:hint="eastAsia"/>
          <w:sz w:val="70"/>
          <w:szCs w:val="70"/>
        </w:rPr>
        <w:t>20年度部门决算情况说明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1273.73</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346.79</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37.41</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苏仙园扩班，基础设施完善支出增加。</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1192.16</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660.40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55.40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531.76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44.60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1065.57</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934.14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87.67</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131.43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12.33</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2020年度财政拨款收、支总计</w:t>
      </w:r>
      <w:r>
        <w:rPr>
          <w:rFonts w:hint="eastAsia" w:asciiTheme="minorEastAsia" w:hAnsiTheme="minorEastAsia" w:eastAsiaTheme="minorEastAsia"/>
          <w:sz w:val="32"/>
          <w:szCs w:val="32"/>
          <w:lang w:val="en-US" w:eastAsia="zh-CN"/>
        </w:rPr>
        <w:t>741.97</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136.16</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22.48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苏仙园扩班，基础设施完善支出增加。</w:t>
      </w:r>
    </w:p>
    <w:p>
      <w:pPr>
        <w:pStyle w:val="10"/>
        <w:ind w:firstLine="64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689.42</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64.70</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168.58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32.37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苏仙园扩班，人员支出和公用支出增加，基础设施完善支出增加。</w:t>
      </w:r>
    </w:p>
    <w:p>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0"/>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689.42</w:t>
      </w:r>
      <w:r>
        <w:rPr>
          <w:rFonts w:hint="eastAsia" w:asciiTheme="minorEastAsia" w:hAnsiTheme="minorEastAsia" w:eastAsiaTheme="minorEastAsia"/>
          <w:sz w:val="32"/>
          <w:szCs w:val="32"/>
        </w:rPr>
        <w:t>万元，主要用于以下方面：教育支出</w:t>
      </w:r>
      <w:r>
        <w:rPr>
          <w:rFonts w:hint="eastAsia" w:asciiTheme="minorEastAsia" w:hAnsiTheme="minorEastAsia" w:eastAsiaTheme="minorEastAsia"/>
          <w:sz w:val="32"/>
          <w:szCs w:val="32"/>
          <w:lang w:val="en-US" w:eastAsia="zh-CN"/>
        </w:rPr>
        <w:t>586.40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85.06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56.88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8.25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lang w:val="en-US" w:eastAsia="zh-CN"/>
        </w:rPr>
        <w:t>19.57万元，占2.84%；住房和保障支出26.57万元，占3.85%。</w:t>
      </w:r>
    </w:p>
    <w:p>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633.86</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689.42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108.77</w:t>
      </w:r>
      <w:r>
        <w:rPr>
          <w:rFonts w:hint="eastAsia" w:asciiTheme="minorEastAsia" w:hAnsiTheme="minorEastAsia" w:eastAsiaTheme="minorEastAsia"/>
          <w:sz w:val="32"/>
          <w:szCs w:val="32"/>
        </w:rPr>
        <w:t>%，其中：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eastAsia="zh-CN"/>
        </w:rPr>
        <w:t>教育</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普通教育（</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学前教育</w:t>
      </w:r>
      <w:r>
        <w:rPr>
          <w:rFonts w:hint="eastAsia" w:asciiTheme="minorEastAsia" w:hAnsiTheme="minorEastAsia" w:eastAsiaTheme="minorEastAsia"/>
          <w:sz w:val="32"/>
          <w:szCs w:val="32"/>
        </w:rPr>
        <w:t>（项）。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512.27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572.51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111.77</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苏仙园扩园，人员经费和公用经费增加。</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eastAsia="zh-CN"/>
        </w:rPr>
        <w:t>教育</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教育费附加安排的支出（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其他教育附加安排的支出</w:t>
      </w:r>
      <w:r>
        <w:rPr>
          <w:rFonts w:hint="eastAsia" w:asciiTheme="minorEastAsia" w:hAnsiTheme="minorEastAsia" w:eastAsiaTheme="minorEastAsia"/>
          <w:sz w:val="32"/>
          <w:szCs w:val="32"/>
        </w:rPr>
        <w:t>（项）。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13.89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113.89</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上年结余资金本年支出。</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社会保障和就业支出（类）行政事业单位离退休（款）事业单位离退休（项）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12.01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12.01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社会保障和就业支出（类）行政事业单位离退休（款）机关事业单位基本养老保险缴费支出（项）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35.43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35.43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社会保障和就业支出（类）行政事业单位离退休（款）机关事业单位职业年金缴费支出（项）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9.44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职业年金补缴支出。</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卫生健康支出（类）行政事业单位医疗（款）事业单位医疗（项）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18.82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18.82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卫生健康支出（类）行政事业单位医疗（款）其他行政事业单位医疗支出（项）</w:t>
      </w:r>
    </w:p>
    <w:p>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0.75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0.75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w:t>
      </w:r>
    </w:p>
    <w:p>
      <w:pPr>
        <w:pStyle w:val="10"/>
        <w:numPr>
          <w:ilvl w:val="0"/>
          <w:numId w:val="2"/>
        </w:numP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住房保障支出（类）住房改革支出（款）住房公积金</w:t>
      </w:r>
    </w:p>
    <w:p>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26.67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26.57</w:t>
      </w:r>
      <w:bookmarkStart w:id="3" w:name="_GoBack"/>
      <w:bookmarkEnd w:id="3"/>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w:t>
      </w:r>
    </w:p>
    <w:p>
      <w:pPr>
        <w:pStyle w:val="10"/>
        <w:rPr>
          <w:rFonts w:hAnsi="黑体"/>
          <w:b/>
          <w:sz w:val="32"/>
          <w:szCs w:val="32"/>
        </w:rPr>
      </w:pPr>
      <w:r>
        <w:rPr>
          <w:rFonts w:hint="eastAsia" w:hAnsi="黑体"/>
          <w:b/>
          <w:sz w:val="32"/>
          <w:szCs w:val="32"/>
        </w:rPr>
        <w:t>六、一般公共预算财政拨款基本支出决算情况说明</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2020年度财政拨款基本支出557.99万元，其中：人员经费500.9万元，占基本支出的89.77%,主要包括基本工资、津贴补贴、奖金、伙食补助费、绩效工资、机关事业单位基本养老保险缴费、职业年金缴费、职工基本医疗保险缴费、公务员医疗补助缴费、其他社会保障缴费、住房公积金；公用经费57.09万元，占基本支出的10.23%，主要包括办公费、印刷费、咨询费、手续费、水费、电 费、邮电费、取暖费、物业管理费、差旅费、因公出国（境）费用、维修（护）费、租赁费、会议费、培训费、公务接待费、专用材料费、劳务费、委托业务费、工 会经费、福利费、公务用车运行维护费、其他交通费用、税金及附加费用、其他商品和服务支出、办公设备购置、专用设备购置、其他资本性支出。</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0.6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厉行节约，严格遵守公务接待支出规定</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预算数，与上年相比增加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与上年持平</w:t>
      </w:r>
      <w:r>
        <w:rPr>
          <w:rFonts w:hint="eastAsia" w:asciiTheme="minorEastAsia" w:hAnsiTheme="minorEastAsia" w:eastAsiaTheme="minorEastAsia"/>
          <w:sz w:val="32"/>
          <w:szCs w:val="32"/>
        </w:rPr>
        <w:t>。</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s="黑体" w:asciiTheme="minorEastAsia" w:hAnsiTheme="minorEastAsia" w:eastAsiaTheme="minorEastAsia"/>
          <w:color w:val="000000"/>
          <w:kern w:val="0"/>
          <w:sz w:val="32"/>
          <w:szCs w:val="32"/>
          <w:lang w:eastAsia="zh-CN"/>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万元，截止2020年12月31日，我单位开支财政拨款的公务用车保有量为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sz w:val="32"/>
          <w:szCs w:val="32"/>
          <w:lang w:eastAsia="zh-CN"/>
        </w:rPr>
        <w:t>。</w:t>
      </w:r>
    </w:p>
    <w:p>
      <w:pPr>
        <w:pStyle w:val="10"/>
        <w:rPr>
          <w:rFonts w:hAnsi="黑体"/>
          <w:b/>
          <w:sz w:val="32"/>
          <w:szCs w:val="32"/>
        </w:rPr>
      </w:pPr>
      <w:r>
        <w:rPr>
          <w:rFonts w:hint="eastAsia" w:hAnsi="黑体"/>
          <w:b/>
          <w:sz w:val="32"/>
          <w:szCs w:val="32"/>
        </w:rPr>
        <w:t>八、政府性基金预算收入支出决算情况</w:t>
      </w:r>
    </w:p>
    <w:p>
      <w:pPr>
        <w:pStyle w:val="10"/>
        <w:rPr>
          <w:rFonts w:hint="eastAsia" w:asciiTheme="minorEastAsia" w:hAnsiTheme="minorEastAsia" w:eastAsiaTheme="minorEastAsia"/>
          <w:i/>
          <w:color w:val="FF0000"/>
          <w:sz w:val="32"/>
          <w:szCs w:val="32"/>
          <w:lang w:eastAsia="zh-CN"/>
        </w:rPr>
      </w:pPr>
      <w:r>
        <w:rPr>
          <w:rFonts w:hint="eastAsia" w:asciiTheme="minorEastAsia" w:hAnsiTheme="minorEastAsia" w:eastAsiaTheme="minorEastAsia"/>
          <w:sz w:val="32"/>
          <w:szCs w:val="32"/>
        </w:rPr>
        <w:t xml:space="preserve">     本单位无政府性基金收支</w:t>
      </w:r>
      <w:r>
        <w:rPr>
          <w:rFonts w:hint="eastAsia" w:asciiTheme="minorEastAsia" w:hAnsiTheme="minorEastAsia" w:eastAsiaTheme="minorEastAsia"/>
          <w:sz w:val="32"/>
          <w:szCs w:val="32"/>
          <w:lang w:eastAsia="zh-CN"/>
        </w:rPr>
        <w:t>。</w:t>
      </w:r>
    </w:p>
    <w:p>
      <w:pPr>
        <w:pStyle w:val="10"/>
        <w:rPr>
          <w:rFonts w:hAnsi="黑体"/>
          <w:b/>
          <w:sz w:val="32"/>
          <w:szCs w:val="32"/>
        </w:rPr>
      </w:pPr>
      <w:r>
        <w:rPr>
          <w:rFonts w:hint="eastAsia" w:hAnsi="黑体"/>
          <w:b/>
          <w:sz w:val="32"/>
          <w:szCs w:val="32"/>
        </w:rPr>
        <w:t>九、关于机关运行经费支出说明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0万</w:t>
      </w:r>
      <w:r>
        <w:rPr>
          <w:rFonts w:hint="eastAsia" w:asciiTheme="minorEastAsia" w:hAnsiTheme="minorEastAsia" w:eastAsiaTheme="minorEastAsia"/>
          <w:sz w:val="32"/>
          <w:szCs w:val="32"/>
        </w:rPr>
        <w:t>元，比年初预算数增加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我园是全额拨款事业单位，无机关运行经费支出</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十、一般性支出情况</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万元；开支培训费</w:t>
      </w:r>
      <w:r>
        <w:rPr>
          <w:rFonts w:hint="eastAsia" w:asciiTheme="minorEastAsia" w:hAnsiTheme="minorEastAsia" w:eastAsiaTheme="minorEastAsia"/>
          <w:sz w:val="32"/>
          <w:szCs w:val="32"/>
          <w:lang w:val="en-US" w:eastAsia="zh-CN"/>
        </w:rPr>
        <w:t>0.44</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教师</w:t>
      </w:r>
      <w:r>
        <w:rPr>
          <w:rFonts w:hint="eastAsia" w:asciiTheme="minorEastAsia" w:hAnsiTheme="minorEastAsia" w:eastAsiaTheme="minorEastAsia"/>
          <w:sz w:val="32"/>
          <w:szCs w:val="32"/>
        </w:rPr>
        <w:t>培训，为</w:t>
      </w:r>
      <w:r>
        <w:rPr>
          <w:rFonts w:hint="eastAsia" w:asciiTheme="minorEastAsia" w:hAnsiTheme="minorEastAsia" w:eastAsiaTheme="minorEastAsia"/>
          <w:sz w:val="32"/>
          <w:szCs w:val="32"/>
          <w:lang w:eastAsia="zh-CN"/>
        </w:rPr>
        <w:t>参加湖南省学前教育学会</w:t>
      </w:r>
      <w:r>
        <w:rPr>
          <w:rFonts w:hint="eastAsia" w:asciiTheme="minorEastAsia" w:hAnsiTheme="minorEastAsia" w:eastAsiaTheme="minorEastAsia"/>
          <w:sz w:val="32"/>
          <w:szCs w:val="32"/>
          <w:lang w:val="en-US" w:eastAsia="zh-CN"/>
        </w:rPr>
        <w:t>2020年学术年会；</w:t>
      </w:r>
      <w:r>
        <w:rPr>
          <w:rFonts w:hint="eastAsia" w:asciiTheme="minorEastAsia" w:hAnsiTheme="minorEastAsia" w:eastAsiaTheme="minorEastAsia"/>
          <w:sz w:val="32"/>
          <w:szCs w:val="32"/>
        </w:rPr>
        <w:t>开展</w:t>
      </w:r>
      <w:r>
        <w:rPr>
          <w:rFonts w:hint="eastAsia" w:asciiTheme="minorEastAsia" w:hAnsiTheme="minorEastAsia" w:eastAsiaTheme="minorEastAsia"/>
          <w:sz w:val="32"/>
          <w:szCs w:val="32"/>
          <w:lang w:eastAsia="zh-CN"/>
        </w:rPr>
        <w:t>专业技术人员</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人，内容</w:t>
      </w:r>
      <w:r>
        <w:rPr>
          <w:rFonts w:hint="eastAsia" w:asciiTheme="minorEastAsia" w:hAnsiTheme="minorEastAsia" w:eastAsiaTheme="minorEastAsia"/>
          <w:sz w:val="32"/>
          <w:szCs w:val="32"/>
          <w:lang w:eastAsia="zh-CN"/>
        </w:rPr>
        <w:t>为专业技术人员继续教育。</w:t>
      </w:r>
    </w:p>
    <w:p>
      <w:pPr>
        <w:pStyle w:val="10"/>
        <w:rPr>
          <w:rFonts w:hAnsi="黑体"/>
          <w:b/>
          <w:sz w:val="32"/>
          <w:szCs w:val="32"/>
        </w:rPr>
      </w:pPr>
      <w:r>
        <w:rPr>
          <w:rFonts w:hint="eastAsia" w:hAnsi="黑体"/>
          <w:b/>
          <w:sz w:val="32"/>
          <w:szCs w:val="32"/>
        </w:rPr>
        <w:t>十一、关于政府采购支出说明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39.30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39.30</w:t>
      </w:r>
      <w:r>
        <w:rPr>
          <w:rFonts w:hint="eastAsia" w:asciiTheme="minorEastAsia" w:hAnsiTheme="minorEastAsia" w:eastAsiaTheme="minorEastAsia"/>
          <w:sz w:val="32"/>
          <w:szCs w:val="32"/>
        </w:rPr>
        <w:t>万元、政府采购服务支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39.30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十二、关于国有资产占用情况说明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0"/>
        <w:rPr>
          <w:rFonts w:hAnsi="黑体"/>
          <w:b/>
          <w:sz w:val="32"/>
          <w:szCs w:val="32"/>
        </w:rPr>
      </w:pPr>
      <w:r>
        <w:rPr>
          <w:rFonts w:hint="eastAsia" w:hAnsi="黑体"/>
          <w:b/>
          <w:sz w:val="32"/>
          <w:szCs w:val="32"/>
        </w:rPr>
        <w:t>十三、关于2020年度预算绩效情况的说明</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本部门预算绩效管理开展情况、绩效目标和绩效评价报告等（按照财政绩效部门要求已公开）</w:t>
      </w:r>
      <w:r>
        <w:rPr>
          <w:rFonts w:hint="eastAsia" w:asciiTheme="minorEastAsia" w:hAnsiTheme="minorEastAsia" w:eastAsiaTheme="minorEastAsia"/>
          <w:sz w:val="32"/>
          <w:szCs w:val="32"/>
          <w:lang w:eastAsia="zh-CN"/>
        </w:rPr>
        <w:t>。</w:t>
      </w:r>
    </w:p>
    <w:p>
      <w:pPr>
        <w:pStyle w:val="10"/>
        <w:rPr>
          <w:rFonts w:hAnsi="黑体"/>
          <w:b/>
          <w:sz w:val="32"/>
          <w:szCs w:val="3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numPr>
          <w:ilvl w:val="0"/>
          <w:numId w:val="3"/>
        </w:numPr>
        <w:ind w:firstLine="640" w:firstLineChars="200"/>
        <w:jc w:val="left"/>
        <w:rPr>
          <w:rFonts w:hint="default" w:cs="黑体" w:asciiTheme="minorEastAsia" w:hAnsiTheme="minorEastAsia"/>
          <w:color w:val="000000"/>
          <w:kern w:val="0"/>
          <w:sz w:val="32"/>
          <w:szCs w:val="32"/>
          <w:lang w:val="en-US" w:eastAsia="zh-CN"/>
        </w:rPr>
      </w:pPr>
      <w:r>
        <w:rPr>
          <w:rFonts w:hint="default" w:cs="黑体" w:asciiTheme="minorEastAsia" w:hAnsiTheme="minorEastAsia"/>
          <w:color w:val="000000"/>
          <w:kern w:val="0"/>
          <w:sz w:val="32"/>
          <w:szCs w:val="32"/>
          <w:lang w:val="en-US" w:eastAsia="zh-CN"/>
        </w:rPr>
        <w:t>“</w:t>
      </w:r>
      <w:r>
        <w:rPr>
          <w:rFonts w:hint="eastAsia" w:cs="黑体" w:asciiTheme="minorEastAsia" w:hAnsiTheme="minorEastAsia"/>
          <w:color w:val="000000"/>
          <w:kern w:val="0"/>
          <w:sz w:val="32"/>
          <w:szCs w:val="32"/>
          <w:lang w:val="en-US" w:eastAsia="zh-CN"/>
        </w:rPr>
        <w:t>三公”经费：纳入财政预决算管理的“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公务接待（含外宾接待）支出。</w:t>
      </w:r>
    </w:p>
    <w:p>
      <w:pPr>
        <w:numPr>
          <w:ilvl w:val="0"/>
          <w:numId w:val="3"/>
        </w:numPr>
        <w:ind w:left="0" w:leftChars="0" w:firstLine="640" w:firstLineChars="200"/>
        <w:jc w:val="left"/>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lang w:eastAsia="zh-CN"/>
        </w:rPr>
        <w:t>机关运行费：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它费用。</w:t>
      </w:r>
    </w:p>
    <w:p>
      <w:pPr>
        <w:numPr>
          <w:ilvl w:val="0"/>
          <w:numId w:val="3"/>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年初结转和结余：指以前年度尚未完成、结转到本年按有关规定继续使用的资金。</w:t>
      </w:r>
    </w:p>
    <w:p>
      <w:pPr>
        <w:numPr>
          <w:ilvl w:val="0"/>
          <w:numId w:val="3"/>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 xml:space="preserve"> 社会保障和就业（类）行政事业单位离退休（款）未归口管理的行政单位离退休（项）：指用于离退休人员方面的支出。</w:t>
      </w:r>
    </w:p>
    <w:p>
      <w:pPr>
        <w:numPr>
          <w:ilvl w:val="0"/>
          <w:numId w:val="3"/>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社会保障和就业（类）行政事业单位离退休（款）机关事业单位基本养老保险缴费支出（项）：指用于缴纳机关事业单位基本养老保险的社保支出。</w:t>
      </w:r>
    </w:p>
    <w:p>
      <w:pPr>
        <w:numPr>
          <w:ilvl w:val="0"/>
          <w:numId w:val="3"/>
        </w:numPr>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住房保障支出（类）住房改革支出（款）住房公积金（项）：指按照《住房公积金管理条例》的规定，由单位及其在职职工缴存的住房公积金。</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widowControl/>
        <w:tabs>
          <w:tab w:val="left" w:pos="3611"/>
          <w:tab w:val="left" w:pos="4791"/>
          <w:tab w:val="left" w:pos="5951"/>
          <w:tab w:val="left" w:pos="7071"/>
          <w:tab w:val="left" w:pos="8191"/>
          <w:tab w:val="left" w:pos="9311"/>
        </w:tabs>
        <w:spacing w:line="360" w:lineRule="auto"/>
        <w:ind w:left="91"/>
        <w:jc w:val="center"/>
        <w:rPr>
          <w:rFonts w:hint="eastAsia" w:ascii="黑体" w:hAnsi="黑体" w:eastAsia="黑体" w:cs="黑体"/>
          <w:kern w:val="0"/>
          <w:sz w:val="36"/>
          <w:szCs w:val="36"/>
        </w:rPr>
      </w:pPr>
    </w:p>
    <w:p>
      <w:pPr>
        <w:pStyle w:val="10"/>
        <w:jc w:val="center"/>
        <w:rPr>
          <w:rFonts w:hint="eastAsia"/>
          <w:sz w:val="72"/>
          <w:szCs w:val="72"/>
        </w:rPr>
      </w:pPr>
      <w:r>
        <w:rPr>
          <w:rFonts w:hint="eastAsia"/>
          <w:sz w:val="72"/>
          <w:szCs w:val="72"/>
        </w:rPr>
        <w:t>2020年度湘南幼儿师范高等</w:t>
      </w:r>
    </w:p>
    <w:p>
      <w:pPr>
        <w:pStyle w:val="10"/>
        <w:jc w:val="center"/>
        <w:rPr>
          <w:rFonts w:hint="eastAsia"/>
          <w:sz w:val="72"/>
          <w:szCs w:val="72"/>
        </w:rPr>
      </w:pPr>
      <w:r>
        <w:rPr>
          <w:rFonts w:hint="eastAsia"/>
          <w:sz w:val="72"/>
          <w:szCs w:val="72"/>
        </w:rPr>
        <w:t>专科学校附属幼儿园整体</w:t>
      </w:r>
    </w:p>
    <w:p>
      <w:pPr>
        <w:pStyle w:val="10"/>
        <w:jc w:val="center"/>
        <w:rPr>
          <w:rFonts w:hint="eastAsia"/>
          <w:sz w:val="72"/>
          <w:szCs w:val="72"/>
        </w:rPr>
      </w:pPr>
      <w:r>
        <w:rPr>
          <w:rFonts w:hint="eastAsia"/>
          <w:sz w:val="72"/>
          <w:szCs w:val="72"/>
        </w:rPr>
        <w:t>支出绩效自评报告</w:t>
      </w: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ind w:firstLine="880" w:firstLineChars="200"/>
        <w:jc w:val="center"/>
        <w:rPr>
          <w:rFonts w:eastAsia="黑体"/>
          <w:sz w:val="44"/>
          <w:szCs w:val="44"/>
        </w:rPr>
      </w:pPr>
    </w:p>
    <w:p>
      <w:pPr>
        <w:spacing w:line="360" w:lineRule="auto"/>
        <w:ind w:firstLine="880" w:firstLineChars="200"/>
        <w:jc w:val="center"/>
        <w:rPr>
          <w:rFonts w:eastAsia="黑体"/>
          <w:sz w:val="44"/>
          <w:szCs w:val="44"/>
        </w:rPr>
      </w:pPr>
    </w:p>
    <w:p>
      <w:pPr>
        <w:spacing w:line="360" w:lineRule="auto"/>
        <w:jc w:val="center"/>
        <w:rPr>
          <w:rFonts w:eastAsia="黑体"/>
          <w:sz w:val="36"/>
          <w:szCs w:val="36"/>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jc w:val="center"/>
        <w:rPr>
          <w:rFonts w:eastAsia="黑体"/>
          <w:sz w:val="32"/>
          <w:szCs w:val="32"/>
        </w:rPr>
      </w:pPr>
    </w:p>
    <w:p>
      <w:pPr>
        <w:spacing w:line="360" w:lineRule="auto"/>
        <w:rPr>
          <w:rFonts w:ascii="黑体" w:hAnsi="黑体" w:eastAsia="黑体"/>
          <w:sz w:val="30"/>
          <w:szCs w:val="30"/>
        </w:rPr>
      </w:pPr>
      <w:r>
        <w:rPr>
          <w:rFonts w:eastAsia="仿宋_GB2312"/>
          <w:sz w:val="32"/>
          <w:szCs w:val="32"/>
        </w:rPr>
        <w:br w:type="column"/>
      </w:r>
      <w:r>
        <w:rPr>
          <w:rFonts w:ascii="黑体" w:hAnsi="黑体" w:eastAsia="黑体"/>
          <w:sz w:val="30"/>
          <w:szCs w:val="30"/>
        </w:rPr>
        <w:t>一、基本情况</w:t>
      </w:r>
    </w:p>
    <w:p>
      <w:pPr>
        <w:spacing w:line="360" w:lineRule="auto"/>
        <w:ind w:firstLine="600" w:firstLineChars="200"/>
        <w:rPr>
          <w:rFonts w:ascii="仿宋" w:hAnsi="仿宋" w:eastAsia="仿宋"/>
          <w:sz w:val="30"/>
          <w:szCs w:val="30"/>
        </w:rPr>
      </w:pPr>
      <w:r>
        <w:rPr>
          <w:rFonts w:ascii="仿宋" w:hAnsi="仿宋" w:eastAsia="仿宋"/>
          <w:sz w:val="30"/>
          <w:szCs w:val="30"/>
        </w:rPr>
        <w:t>（一）单位基本情况</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1.职能职责</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园的主要职责是以《幼儿园工作规程》、《幼儿园教育指导纲要》为指导。对3-6岁学龄前幼儿实行保育与教育相结合的原则，对幼儿实施体、智、德、美诸方面全面发展的教育，促进其身心和谐发展；同时为家长参加工作、学习提供便利。</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2.机构设置</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园属全额拨款事业单位，2018年12月我园更名为湘南幼儿师范高等专科学校附属幼儿园,主管局由郴州市商务局调整为湘南幼儿师范高等专科学校，编制人数从29人调整至39人，2020年底实有在编职工人数35人，退休职工人数25人，聘用编外职工35人。2020年上学期我园设大、中、小三个年龄段10个班，共收托幼儿381名。2020年下学期我园设大、中、小三个年龄段12个班，共收托幼儿490名。</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（二）</w:t>
      </w:r>
      <w:r>
        <w:rPr>
          <w:rFonts w:ascii="仿宋" w:hAnsi="仿宋" w:eastAsia="仿宋"/>
          <w:sz w:val="30"/>
          <w:szCs w:val="30"/>
        </w:rPr>
        <w:t>单位年度整体支出绩效目标，市级专项资金绩效目标、其他项目支出（除市级专项资金以外）绩效目标</w:t>
      </w:r>
    </w:p>
    <w:p>
      <w:pPr>
        <w:spacing w:line="360" w:lineRule="auto"/>
        <w:ind w:firstLine="600" w:firstLineChars="200"/>
        <w:rPr>
          <w:rFonts w:hint="default" w:ascii="仿宋" w:hAnsi="仿宋" w:eastAsia="仿宋"/>
          <w:sz w:val="30"/>
          <w:szCs w:val="30"/>
          <w:lang w:val="en-US" w:eastAsia="zh-CN"/>
        </w:rPr>
      </w:pPr>
      <w:r>
        <w:rPr>
          <w:rFonts w:hint="eastAsia" w:ascii="仿宋" w:hAnsi="仿宋" w:eastAsia="仿宋"/>
          <w:sz w:val="30"/>
          <w:szCs w:val="30"/>
        </w:rPr>
        <w:t>我园年度整体支出绩效目标：资金总额</w:t>
      </w:r>
      <w:r>
        <w:rPr>
          <w:rFonts w:hint="eastAsia" w:ascii="仿宋" w:hAnsi="仿宋" w:eastAsia="仿宋"/>
          <w:sz w:val="30"/>
          <w:szCs w:val="30"/>
          <w:lang w:val="en-US" w:eastAsia="zh-CN"/>
        </w:rPr>
        <w:t>982.46</w:t>
      </w:r>
      <w:r>
        <w:rPr>
          <w:rFonts w:hint="eastAsia" w:ascii="仿宋" w:hAnsi="仿宋" w:eastAsia="仿宋"/>
          <w:sz w:val="30"/>
          <w:szCs w:val="30"/>
        </w:rPr>
        <w:t>万元，其中公共财政拨款收入</w:t>
      </w:r>
      <w:r>
        <w:rPr>
          <w:rFonts w:hint="eastAsia" w:eastAsia="仿宋_GB2312"/>
          <w:sz w:val="32"/>
          <w:szCs w:val="32"/>
          <w:lang w:val="en-US" w:eastAsia="zh-CN"/>
        </w:rPr>
        <w:t>633.86</w:t>
      </w:r>
      <w:r>
        <w:rPr>
          <w:rFonts w:hint="eastAsia" w:ascii="仿宋" w:hAnsi="仿宋" w:eastAsia="仿宋"/>
          <w:sz w:val="30"/>
          <w:szCs w:val="30"/>
        </w:rPr>
        <w:t>万元，纳入专户管理的非税收入拨款</w:t>
      </w:r>
      <w:r>
        <w:rPr>
          <w:rFonts w:hint="eastAsia" w:ascii="仿宋" w:hAnsi="仿宋" w:eastAsia="仿宋"/>
          <w:sz w:val="30"/>
          <w:szCs w:val="30"/>
          <w:lang w:val="en-US" w:eastAsia="zh-CN"/>
        </w:rPr>
        <w:t>348.6</w:t>
      </w:r>
      <w:r>
        <w:rPr>
          <w:rFonts w:hint="eastAsia" w:ascii="仿宋" w:hAnsi="仿宋" w:eastAsia="仿宋"/>
          <w:sz w:val="30"/>
          <w:szCs w:val="30"/>
        </w:rPr>
        <w:t>万元</w:t>
      </w:r>
      <w:r>
        <w:rPr>
          <w:rFonts w:hint="eastAsia" w:ascii="仿宋" w:hAnsi="仿宋" w:eastAsia="仿宋"/>
          <w:sz w:val="30"/>
          <w:szCs w:val="30"/>
          <w:lang w:val="en-US" w:eastAsia="zh-CN"/>
        </w:rPr>
        <w:t>,</w:t>
      </w:r>
      <w:r>
        <w:rPr>
          <w:rFonts w:hint="eastAsia" w:ascii="仿宋" w:hAnsi="仿宋" w:eastAsia="仿宋"/>
          <w:sz w:val="30"/>
          <w:szCs w:val="30"/>
        </w:rPr>
        <w:t>基本支出</w:t>
      </w:r>
      <w:r>
        <w:rPr>
          <w:rFonts w:hint="eastAsia" w:ascii="仿宋" w:hAnsi="仿宋" w:eastAsia="仿宋"/>
          <w:sz w:val="30"/>
          <w:szCs w:val="30"/>
          <w:lang w:val="en-US" w:eastAsia="zh-CN"/>
        </w:rPr>
        <w:t>522.86</w:t>
      </w:r>
      <w:r>
        <w:rPr>
          <w:rFonts w:hint="eastAsia" w:ascii="仿宋" w:hAnsi="仿宋" w:eastAsia="仿宋"/>
          <w:sz w:val="30"/>
          <w:szCs w:val="30"/>
        </w:rPr>
        <w:t>万元，项目支出</w:t>
      </w:r>
      <w:r>
        <w:rPr>
          <w:rFonts w:hint="eastAsia" w:ascii="仿宋" w:hAnsi="仿宋" w:eastAsia="仿宋"/>
          <w:sz w:val="30"/>
          <w:szCs w:val="30"/>
          <w:lang w:val="en-US" w:eastAsia="zh-CN"/>
        </w:rPr>
        <w:t>459.6</w:t>
      </w:r>
      <w:r>
        <w:rPr>
          <w:rFonts w:hint="eastAsia" w:ascii="仿宋" w:hAnsi="仿宋" w:eastAsia="仿宋"/>
          <w:sz w:val="30"/>
          <w:szCs w:val="30"/>
        </w:rPr>
        <w:t>万元</w:t>
      </w:r>
      <w:r>
        <w:rPr>
          <w:rFonts w:hint="eastAsia" w:ascii="仿宋" w:hAnsi="仿宋" w:eastAsia="仿宋"/>
          <w:sz w:val="30"/>
          <w:szCs w:val="30"/>
          <w:lang w:val="en-US" w:eastAsia="zh-CN"/>
        </w:rPr>
        <w:t>,其中业务工作经费348.6万元，包括聘用人员工资保险231万元，幼儿伙食费117.6万元；</w:t>
      </w:r>
      <w:r>
        <w:rPr>
          <w:rFonts w:hint="eastAsia" w:ascii="仿宋" w:hAnsi="仿宋" w:eastAsia="仿宋"/>
          <w:sz w:val="30"/>
          <w:szCs w:val="30"/>
        </w:rPr>
        <w:t>市级专项资金绩效目标：教育专项支出111万元。</w:t>
      </w:r>
    </w:p>
    <w:tbl>
      <w:tblPr>
        <w:tblStyle w:val="6"/>
        <w:tblW w:w="7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2730"/>
        <w:gridCol w:w="2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b/>
                <w:bCs/>
                <w:sz w:val="30"/>
                <w:szCs w:val="30"/>
                <w:vertAlign w:val="baseline"/>
                <w:lang w:eastAsia="zh-CN"/>
              </w:rPr>
            </w:pPr>
            <w:r>
              <w:rPr>
                <w:rFonts w:hint="eastAsia" w:ascii="仿宋" w:hAnsi="仿宋" w:eastAsia="仿宋"/>
                <w:b/>
                <w:bCs/>
                <w:sz w:val="30"/>
                <w:szCs w:val="30"/>
                <w:vertAlign w:val="baseline"/>
                <w:lang w:eastAsia="zh-CN"/>
              </w:rPr>
              <w:t>项目</w:t>
            </w:r>
          </w:p>
        </w:tc>
        <w:tc>
          <w:tcPr>
            <w:tcW w:w="2730" w:type="dxa"/>
          </w:tcPr>
          <w:p>
            <w:pPr>
              <w:spacing w:line="360" w:lineRule="auto"/>
              <w:jc w:val="center"/>
              <w:rPr>
                <w:rFonts w:hint="eastAsia" w:ascii="仿宋" w:hAnsi="仿宋" w:eastAsia="仿宋"/>
                <w:b/>
                <w:bCs/>
                <w:sz w:val="30"/>
                <w:szCs w:val="30"/>
                <w:vertAlign w:val="baseline"/>
                <w:lang w:eastAsia="zh-CN"/>
              </w:rPr>
            </w:pPr>
            <w:r>
              <w:rPr>
                <w:rFonts w:hint="eastAsia" w:ascii="仿宋" w:hAnsi="仿宋" w:eastAsia="仿宋"/>
                <w:b/>
                <w:bCs/>
                <w:sz w:val="30"/>
                <w:szCs w:val="30"/>
                <w:vertAlign w:val="baseline"/>
                <w:lang w:val="en-US" w:eastAsia="zh-CN"/>
              </w:rPr>
              <w:t>2020年</w:t>
            </w:r>
            <w:r>
              <w:rPr>
                <w:rFonts w:hint="eastAsia" w:ascii="仿宋" w:hAnsi="仿宋" w:eastAsia="仿宋"/>
                <w:b/>
                <w:bCs/>
                <w:sz w:val="30"/>
                <w:szCs w:val="30"/>
                <w:vertAlign w:val="baseline"/>
                <w:lang w:eastAsia="zh-CN"/>
              </w:rPr>
              <w:t>预算（万元）</w:t>
            </w:r>
          </w:p>
        </w:tc>
        <w:tc>
          <w:tcPr>
            <w:tcW w:w="2890" w:type="dxa"/>
          </w:tcPr>
          <w:p>
            <w:pPr>
              <w:spacing w:line="360" w:lineRule="auto"/>
              <w:jc w:val="center"/>
              <w:rPr>
                <w:rFonts w:hint="default" w:ascii="仿宋" w:hAnsi="仿宋" w:eastAsia="仿宋"/>
                <w:b/>
                <w:bCs/>
                <w:sz w:val="30"/>
                <w:szCs w:val="30"/>
                <w:vertAlign w:val="baseline"/>
                <w:lang w:val="en-US" w:eastAsia="zh-CN"/>
              </w:rPr>
            </w:pPr>
            <w:r>
              <w:rPr>
                <w:rFonts w:hint="eastAsia" w:ascii="仿宋" w:hAnsi="仿宋" w:eastAsia="仿宋"/>
                <w:b/>
                <w:bCs/>
                <w:sz w:val="30"/>
                <w:szCs w:val="30"/>
                <w:vertAlign w:val="baseline"/>
                <w:lang w:val="en-US" w:eastAsia="zh-CN"/>
              </w:rPr>
              <w:t>2020年决算</w:t>
            </w:r>
            <w:r>
              <w:rPr>
                <w:rFonts w:hint="eastAsia" w:ascii="仿宋" w:hAnsi="仿宋" w:eastAsia="仿宋"/>
                <w:b/>
                <w:bCs/>
                <w:sz w:val="30"/>
                <w:szCs w:val="30"/>
                <w:vertAlign w:val="baseli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基本支出</w:t>
            </w:r>
          </w:p>
        </w:tc>
        <w:tc>
          <w:tcPr>
            <w:tcW w:w="273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522.86</w:t>
            </w:r>
          </w:p>
        </w:tc>
        <w:tc>
          <w:tcPr>
            <w:tcW w:w="289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578.76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项目支出</w:t>
            </w:r>
          </w:p>
        </w:tc>
        <w:tc>
          <w:tcPr>
            <w:tcW w:w="273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459.6</w:t>
            </w:r>
          </w:p>
        </w:tc>
        <w:tc>
          <w:tcPr>
            <w:tcW w:w="289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486.8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b/>
                <w:bCs/>
                <w:sz w:val="30"/>
                <w:szCs w:val="30"/>
                <w:vertAlign w:val="baseline"/>
                <w:lang w:eastAsia="zh-CN"/>
              </w:rPr>
            </w:pPr>
            <w:r>
              <w:rPr>
                <w:rFonts w:hint="eastAsia" w:ascii="仿宋" w:hAnsi="仿宋" w:eastAsia="仿宋"/>
                <w:b/>
                <w:bCs/>
                <w:sz w:val="30"/>
                <w:szCs w:val="30"/>
                <w:vertAlign w:val="baseline"/>
                <w:lang w:eastAsia="zh-CN"/>
              </w:rPr>
              <w:t>支出合计</w:t>
            </w:r>
          </w:p>
        </w:tc>
        <w:tc>
          <w:tcPr>
            <w:tcW w:w="2730" w:type="dxa"/>
          </w:tcPr>
          <w:p>
            <w:pPr>
              <w:spacing w:line="360" w:lineRule="auto"/>
              <w:jc w:val="center"/>
              <w:rPr>
                <w:rFonts w:hint="default" w:ascii="仿宋" w:hAnsi="仿宋" w:eastAsia="仿宋"/>
                <w:b/>
                <w:bCs/>
                <w:sz w:val="30"/>
                <w:szCs w:val="30"/>
                <w:vertAlign w:val="baseline"/>
                <w:lang w:val="en-US" w:eastAsia="zh-CN"/>
              </w:rPr>
            </w:pPr>
            <w:r>
              <w:rPr>
                <w:rFonts w:hint="eastAsia" w:ascii="仿宋" w:hAnsi="仿宋" w:eastAsia="仿宋"/>
                <w:b/>
                <w:bCs/>
                <w:sz w:val="30"/>
                <w:szCs w:val="30"/>
                <w:vertAlign w:val="baseline"/>
                <w:lang w:val="en-US" w:eastAsia="zh-CN"/>
              </w:rPr>
              <w:t>982.46</w:t>
            </w:r>
          </w:p>
        </w:tc>
        <w:tc>
          <w:tcPr>
            <w:tcW w:w="2890" w:type="dxa"/>
          </w:tcPr>
          <w:p>
            <w:pPr>
              <w:spacing w:line="360" w:lineRule="auto"/>
              <w:jc w:val="center"/>
              <w:rPr>
                <w:rFonts w:hint="default" w:ascii="仿宋" w:hAnsi="仿宋" w:eastAsia="仿宋"/>
                <w:b/>
                <w:bCs/>
                <w:sz w:val="30"/>
                <w:szCs w:val="30"/>
                <w:vertAlign w:val="baseline"/>
                <w:lang w:val="en-US" w:eastAsia="zh-CN"/>
              </w:rPr>
            </w:pPr>
            <w:r>
              <w:rPr>
                <w:rFonts w:hint="eastAsia" w:ascii="仿宋" w:hAnsi="仿宋" w:eastAsia="仿宋"/>
                <w:b/>
                <w:bCs/>
                <w:sz w:val="30"/>
                <w:szCs w:val="30"/>
                <w:vertAlign w:val="baseline"/>
                <w:lang w:val="en-US" w:eastAsia="zh-CN"/>
              </w:rPr>
              <w:t>1065.56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一般公共预算</w:t>
            </w:r>
          </w:p>
        </w:tc>
        <w:tc>
          <w:tcPr>
            <w:tcW w:w="273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633.86</w:t>
            </w:r>
          </w:p>
        </w:tc>
        <w:tc>
          <w:tcPr>
            <w:tcW w:w="289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660.40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非税拨款</w:t>
            </w:r>
          </w:p>
        </w:tc>
        <w:tc>
          <w:tcPr>
            <w:tcW w:w="273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348.6</w:t>
            </w:r>
          </w:p>
        </w:tc>
        <w:tc>
          <w:tcPr>
            <w:tcW w:w="2890" w:type="dxa"/>
          </w:tcPr>
          <w:p>
            <w:pPr>
              <w:spacing w:line="360" w:lineRule="auto"/>
              <w:jc w:val="center"/>
              <w:rPr>
                <w:rFonts w:hint="default"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405.16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政府性基金</w:t>
            </w:r>
          </w:p>
        </w:tc>
        <w:tc>
          <w:tcPr>
            <w:tcW w:w="2730" w:type="dxa"/>
          </w:tcPr>
          <w:p>
            <w:pPr>
              <w:spacing w:line="360" w:lineRule="auto"/>
              <w:jc w:val="center"/>
              <w:rPr>
                <w:rFonts w:hint="eastAsia"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0</w:t>
            </w:r>
          </w:p>
        </w:tc>
        <w:tc>
          <w:tcPr>
            <w:tcW w:w="2890" w:type="dxa"/>
          </w:tcPr>
          <w:p>
            <w:pPr>
              <w:spacing w:line="360" w:lineRule="auto"/>
              <w:jc w:val="center"/>
              <w:rPr>
                <w:rFonts w:hint="eastAsia"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sz w:val="30"/>
                <w:szCs w:val="30"/>
                <w:vertAlign w:val="baseline"/>
                <w:lang w:eastAsia="zh-CN"/>
              </w:rPr>
            </w:pPr>
            <w:r>
              <w:rPr>
                <w:rFonts w:hint="eastAsia" w:ascii="仿宋" w:hAnsi="仿宋" w:eastAsia="仿宋"/>
                <w:sz w:val="30"/>
                <w:szCs w:val="30"/>
                <w:vertAlign w:val="baseline"/>
                <w:lang w:eastAsia="zh-CN"/>
              </w:rPr>
              <w:t>其它资金</w:t>
            </w:r>
          </w:p>
        </w:tc>
        <w:tc>
          <w:tcPr>
            <w:tcW w:w="2730" w:type="dxa"/>
          </w:tcPr>
          <w:p>
            <w:pPr>
              <w:spacing w:line="360" w:lineRule="auto"/>
              <w:jc w:val="center"/>
              <w:rPr>
                <w:rFonts w:hint="eastAsia"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0</w:t>
            </w:r>
          </w:p>
        </w:tc>
        <w:tc>
          <w:tcPr>
            <w:tcW w:w="2890" w:type="dxa"/>
          </w:tcPr>
          <w:p>
            <w:pPr>
              <w:spacing w:line="360" w:lineRule="auto"/>
              <w:jc w:val="center"/>
              <w:rPr>
                <w:rFonts w:hint="eastAsia" w:ascii="仿宋" w:hAnsi="仿宋" w:eastAsia="仿宋"/>
                <w:sz w:val="30"/>
                <w:szCs w:val="30"/>
                <w:vertAlign w:val="baseline"/>
                <w:lang w:val="en-US" w:eastAsia="zh-CN"/>
              </w:rPr>
            </w:pPr>
            <w:r>
              <w:rPr>
                <w:rFonts w:hint="eastAsia" w:ascii="仿宋" w:hAnsi="仿宋" w:eastAsia="仿宋"/>
                <w:sz w:val="30"/>
                <w:szCs w:val="30"/>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pPr>
              <w:spacing w:line="360" w:lineRule="auto"/>
              <w:jc w:val="center"/>
              <w:rPr>
                <w:rFonts w:hint="eastAsia" w:ascii="仿宋" w:hAnsi="仿宋" w:eastAsia="仿宋"/>
                <w:b/>
                <w:bCs/>
                <w:sz w:val="30"/>
                <w:szCs w:val="30"/>
                <w:vertAlign w:val="baseline"/>
                <w:lang w:eastAsia="zh-CN"/>
              </w:rPr>
            </w:pPr>
            <w:r>
              <w:rPr>
                <w:rFonts w:hint="eastAsia" w:ascii="仿宋" w:hAnsi="仿宋" w:eastAsia="仿宋"/>
                <w:b/>
                <w:bCs/>
                <w:sz w:val="30"/>
                <w:szCs w:val="30"/>
                <w:vertAlign w:val="baseline"/>
                <w:lang w:eastAsia="zh-CN"/>
              </w:rPr>
              <w:t>收入合计</w:t>
            </w:r>
          </w:p>
        </w:tc>
        <w:tc>
          <w:tcPr>
            <w:tcW w:w="2730" w:type="dxa"/>
          </w:tcPr>
          <w:p>
            <w:pPr>
              <w:spacing w:line="360" w:lineRule="auto"/>
              <w:jc w:val="center"/>
              <w:rPr>
                <w:rFonts w:hint="default" w:ascii="仿宋" w:hAnsi="仿宋" w:eastAsia="仿宋"/>
                <w:b/>
                <w:bCs/>
                <w:sz w:val="30"/>
                <w:szCs w:val="30"/>
                <w:vertAlign w:val="baseline"/>
                <w:lang w:val="en-US" w:eastAsia="zh-CN"/>
              </w:rPr>
            </w:pPr>
            <w:r>
              <w:rPr>
                <w:rFonts w:hint="eastAsia" w:ascii="仿宋" w:hAnsi="仿宋" w:eastAsia="仿宋"/>
                <w:b/>
                <w:bCs/>
                <w:sz w:val="30"/>
                <w:szCs w:val="30"/>
                <w:vertAlign w:val="baseline"/>
                <w:lang w:val="en-US" w:eastAsia="zh-CN"/>
              </w:rPr>
              <w:t>982.46</w:t>
            </w:r>
          </w:p>
        </w:tc>
        <w:tc>
          <w:tcPr>
            <w:tcW w:w="2890" w:type="dxa"/>
          </w:tcPr>
          <w:p>
            <w:pPr>
              <w:spacing w:line="360" w:lineRule="auto"/>
              <w:jc w:val="center"/>
              <w:rPr>
                <w:rFonts w:hint="eastAsia" w:ascii="仿宋" w:hAnsi="仿宋" w:eastAsia="仿宋"/>
                <w:b/>
                <w:bCs/>
                <w:sz w:val="30"/>
                <w:szCs w:val="30"/>
                <w:vertAlign w:val="baseline"/>
              </w:rPr>
            </w:pPr>
            <w:r>
              <w:rPr>
                <w:rFonts w:hint="eastAsia" w:ascii="仿宋" w:hAnsi="仿宋" w:eastAsia="仿宋"/>
                <w:b/>
                <w:bCs/>
                <w:sz w:val="30"/>
                <w:szCs w:val="30"/>
                <w:vertAlign w:val="baseline"/>
                <w:lang w:val="en-US" w:eastAsia="zh-CN"/>
              </w:rPr>
              <w:t>1065.56</w:t>
            </w:r>
          </w:p>
        </w:tc>
      </w:tr>
    </w:tbl>
    <w:p>
      <w:pPr>
        <w:spacing w:line="360" w:lineRule="auto"/>
        <w:rPr>
          <w:rFonts w:hint="eastAsia" w:ascii="仿宋" w:hAnsi="仿宋" w:eastAsia="仿宋"/>
          <w:sz w:val="30"/>
          <w:szCs w:val="30"/>
        </w:rPr>
      </w:pPr>
    </w:p>
    <w:p>
      <w:pPr>
        <w:spacing w:line="360" w:lineRule="auto"/>
        <w:ind w:firstLine="600" w:firstLineChars="200"/>
        <w:rPr>
          <w:rFonts w:hint="eastAsia" w:ascii="仿宋" w:hAnsi="仿宋" w:eastAsia="仿宋"/>
          <w:sz w:val="30"/>
          <w:szCs w:val="30"/>
        </w:rPr>
      </w:pPr>
      <w:r>
        <w:rPr>
          <w:rFonts w:ascii="黑体" w:hAnsi="黑体" w:eastAsia="黑体"/>
          <w:sz w:val="30"/>
          <w:szCs w:val="30"/>
        </w:rPr>
        <w:t>二、一般公共预算支出情况</w:t>
      </w:r>
    </w:p>
    <w:p>
      <w:pPr>
        <w:spacing w:line="360" w:lineRule="auto"/>
        <w:ind w:firstLine="600" w:firstLineChars="200"/>
        <w:rPr>
          <w:rFonts w:hint="eastAsia" w:ascii="仿宋" w:hAnsi="仿宋" w:eastAsia="仿宋"/>
          <w:sz w:val="30"/>
          <w:szCs w:val="30"/>
        </w:rPr>
      </w:pPr>
      <w:r>
        <w:rPr>
          <w:rFonts w:ascii="仿宋" w:hAnsi="仿宋" w:eastAsia="仿宋"/>
          <w:sz w:val="30"/>
          <w:szCs w:val="30"/>
        </w:rPr>
        <w:t>（一）基本支出情况</w:t>
      </w:r>
    </w:p>
    <w:p>
      <w:pPr>
        <w:spacing w:line="360" w:lineRule="auto"/>
        <w:ind w:firstLine="600" w:firstLineChars="200"/>
        <w:rPr>
          <w:rFonts w:ascii="仿宋" w:hAnsi="仿宋" w:eastAsia="仿宋"/>
          <w:sz w:val="30"/>
          <w:szCs w:val="30"/>
        </w:rPr>
      </w:pPr>
      <w:r>
        <w:rPr>
          <w:rFonts w:hint="eastAsia" w:ascii="仿宋" w:hAnsi="仿宋" w:eastAsia="仿宋"/>
          <w:sz w:val="30"/>
          <w:szCs w:val="30"/>
        </w:rPr>
        <w:t>1.2020年度湘南幼儿师范高等专科学校附属幼儿园基本支出的主要用途、范围以及资金的管理情况（见下表）</w:t>
      </w:r>
    </w:p>
    <w:tbl>
      <w:tblPr>
        <w:tblStyle w:val="5"/>
        <w:tblW w:w="9218" w:type="dxa"/>
        <w:jc w:val="center"/>
        <w:tblLayout w:type="autofit"/>
        <w:tblCellMar>
          <w:top w:w="0" w:type="dxa"/>
          <w:left w:w="108" w:type="dxa"/>
          <w:bottom w:w="0" w:type="dxa"/>
          <w:right w:w="108" w:type="dxa"/>
        </w:tblCellMar>
      </w:tblPr>
      <w:tblGrid>
        <w:gridCol w:w="1302"/>
        <w:gridCol w:w="4068"/>
        <w:gridCol w:w="2765"/>
        <w:gridCol w:w="1083"/>
      </w:tblGrid>
      <w:tr>
        <w:tblPrEx>
          <w:tblCellMar>
            <w:top w:w="0" w:type="dxa"/>
            <w:left w:w="108" w:type="dxa"/>
            <w:bottom w:w="0" w:type="dxa"/>
            <w:right w:w="108" w:type="dxa"/>
          </w:tblCellMar>
        </w:tblPrEx>
        <w:trPr>
          <w:trHeight w:val="414" w:hRule="atLeast"/>
          <w:jc w:val="center"/>
        </w:trPr>
        <w:tc>
          <w:tcPr>
            <w:tcW w:w="13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项目名称</w:t>
            </w:r>
          </w:p>
        </w:tc>
        <w:tc>
          <w:tcPr>
            <w:tcW w:w="4068" w:type="dxa"/>
            <w:tcBorders>
              <w:top w:val="single" w:color="auto" w:sz="4" w:space="0"/>
              <w:left w:val="nil"/>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主要用途、范围</w:t>
            </w:r>
          </w:p>
        </w:tc>
        <w:tc>
          <w:tcPr>
            <w:tcW w:w="3848"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default" w:ascii="仿宋" w:hAnsi="仿宋" w:eastAsia="仿宋"/>
                <w:b/>
                <w:sz w:val="24"/>
                <w:lang w:val="en-US" w:eastAsia="zh-CN"/>
              </w:rPr>
            </w:pPr>
            <w:r>
              <w:rPr>
                <w:rFonts w:hint="eastAsia" w:ascii="仿宋" w:hAnsi="仿宋" w:eastAsia="仿宋"/>
                <w:b/>
                <w:sz w:val="24"/>
              </w:rPr>
              <w:t>资金使用情况</w:t>
            </w:r>
            <w:r>
              <w:rPr>
                <w:rFonts w:hint="eastAsia" w:ascii="仿宋" w:hAnsi="仿宋" w:eastAsia="仿宋"/>
                <w:b/>
                <w:sz w:val="24"/>
                <w:lang w:val="en-US" w:eastAsia="zh-CN"/>
              </w:rPr>
              <w:t>(万元)</w:t>
            </w:r>
          </w:p>
        </w:tc>
      </w:tr>
      <w:tr>
        <w:tblPrEx>
          <w:tblCellMar>
            <w:top w:w="0" w:type="dxa"/>
            <w:left w:w="108" w:type="dxa"/>
            <w:bottom w:w="0" w:type="dxa"/>
            <w:right w:w="108" w:type="dxa"/>
          </w:tblCellMar>
        </w:tblPrEx>
        <w:trPr>
          <w:trHeight w:val="414" w:hRule="atLeast"/>
          <w:jc w:val="center"/>
        </w:trPr>
        <w:tc>
          <w:tcPr>
            <w:tcW w:w="1302"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人员经费</w:t>
            </w:r>
          </w:p>
        </w:tc>
        <w:tc>
          <w:tcPr>
            <w:tcW w:w="406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1.职工“五险一金”和各类福利</w:t>
            </w:r>
          </w:p>
        </w:tc>
        <w:tc>
          <w:tcPr>
            <w:tcW w:w="2765"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工资福利支出</w:t>
            </w:r>
          </w:p>
        </w:tc>
        <w:tc>
          <w:tcPr>
            <w:tcW w:w="1083" w:type="dxa"/>
            <w:tcBorders>
              <w:top w:val="nil"/>
              <w:left w:val="nil"/>
              <w:bottom w:val="single" w:color="auto" w:sz="4" w:space="0"/>
              <w:right w:val="single" w:color="auto" w:sz="4" w:space="0"/>
            </w:tcBorders>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437.78</w:t>
            </w:r>
          </w:p>
        </w:tc>
      </w:tr>
      <w:tr>
        <w:tblPrEx>
          <w:tblCellMar>
            <w:top w:w="0" w:type="dxa"/>
            <w:left w:w="108" w:type="dxa"/>
            <w:bottom w:w="0" w:type="dxa"/>
            <w:right w:w="108" w:type="dxa"/>
          </w:tblCellMar>
        </w:tblPrEx>
        <w:trPr>
          <w:trHeight w:val="414" w:hRule="atLeast"/>
          <w:jc w:val="center"/>
        </w:trPr>
        <w:tc>
          <w:tcPr>
            <w:tcW w:w="1302"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p>
        </w:tc>
        <w:tc>
          <w:tcPr>
            <w:tcW w:w="406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2.各类补助</w:t>
            </w:r>
          </w:p>
        </w:tc>
        <w:tc>
          <w:tcPr>
            <w:tcW w:w="2765"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对个人和家庭的补助</w:t>
            </w:r>
          </w:p>
        </w:tc>
        <w:tc>
          <w:tcPr>
            <w:tcW w:w="1083"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73.62</w:t>
            </w:r>
          </w:p>
        </w:tc>
      </w:tr>
      <w:tr>
        <w:tblPrEx>
          <w:tblCellMar>
            <w:top w:w="0" w:type="dxa"/>
            <w:left w:w="108" w:type="dxa"/>
            <w:bottom w:w="0" w:type="dxa"/>
            <w:right w:w="108" w:type="dxa"/>
          </w:tblCellMar>
        </w:tblPrEx>
        <w:trPr>
          <w:trHeight w:val="750" w:hRule="atLeast"/>
          <w:jc w:val="center"/>
        </w:trPr>
        <w:tc>
          <w:tcPr>
            <w:tcW w:w="1302"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公用经费</w:t>
            </w:r>
          </w:p>
        </w:tc>
        <w:tc>
          <w:tcPr>
            <w:tcW w:w="406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1.学校日常运行(办公支出、维护维修费、培训费、三公经费等支出）</w:t>
            </w:r>
          </w:p>
        </w:tc>
        <w:tc>
          <w:tcPr>
            <w:tcW w:w="2765"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商品和服务支出</w:t>
            </w:r>
          </w:p>
        </w:tc>
        <w:tc>
          <w:tcPr>
            <w:tcW w:w="1083" w:type="dxa"/>
            <w:tcBorders>
              <w:top w:val="nil"/>
              <w:left w:val="nil"/>
              <w:bottom w:val="single" w:color="auto" w:sz="4" w:space="0"/>
              <w:right w:val="single" w:color="auto" w:sz="4" w:space="0"/>
            </w:tcBorders>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67.36</w:t>
            </w:r>
          </w:p>
        </w:tc>
      </w:tr>
      <w:tr>
        <w:tblPrEx>
          <w:tblCellMar>
            <w:top w:w="0" w:type="dxa"/>
            <w:left w:w="108" w:type="dxa"/>
            <w:bottom w:w="0" w:type="dxa"/>
            <w:right w:w="108" w:type="dxa"/>
          </w:tblCellMar>
        </w:tblPrEx>
        <w:trPr>
          <w:trHeight w:val="424" w:hRule="atLeast"/>
          <w:jc w:val="center"/>
        </w:trPr>
        <w:tc>
          <w:tcPr>
            <w:tcW w:w="537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合计</w:t>
            </w:r>
          </w:p>
        </w:tc>
        <w:tc>
          <w:tcPr>
            <w:tcW w:w="2765"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p>
        </w:tc>
        <w:tc>
          <w:tcPr>
            <w:tcW w:w="1083" w:type="dxa"/>
            <w:tcBorders>
              <w:top w:val="nil"/>
              <w:left w:val="nil"/>
              <w:bottom w:val="single" w:color="auto" w:sz="4" w:space="0"/>
              <w:right w:val="single" w:color="auto" w:sz="4" w:space="0"/>
            </w:tcBorders>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578.76</w:t>
            </w:r>
          </w:p>
        </w:tc>
      </w:tr>
    </w:tbl>
    <w:p>
      <w:pPr>
        <w:spacing w:line="360" w:lineRule="auto"/>
        <w:ind w:firstLine="300" w:firstLineChars="100"/>
        <w:rPr>
          <w:rFonts w:ascii="仿宋" w:hAnsi="仿宋" w:eastAsia="仿宋"/>
          <w:sz w:val="30"/>
          <w:szCs w:val="30"/>
        </w:rPr>
      </w:pPr>
      <w:r>
        <w:rPr>
          <w:rFonts w:hint="eastAsia" w:ascii="仿宋" w:hAnsi="仿宋" w:eastAsia="仿宋"/>
          <w:sz w:val="30"/>
          <w:szCs w:val="30"/>
        </w:rPr>
        <w:t>2.“三公”经费的使用和管理情况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2020全年“三公”经费预算0.6万元，较2018年减少0.1万元。2020年“三公”经费实际支出0万元，其中，因公出国（境）费0万元，公务用车购置及运行费0万元，公务接待费0万元。</w:t>
      </w:r>
    </w:p>
    <w:tbl>
      <w:tblPr>
        <w:tblStyle w:val="5"/>
        <w:tblW w:w="7381" w:type="dxa"/>
        <w:jc w:val="center"/>
        <w:tblLayout w:type="autofit"/>
        <w:tblCellMar>
          <w:top w:w="0" w:type="dxa"/>
          <w:left w:w="108" w:type="dxa"/>
          <w:bottom w:w="0" w:type="dxa"/>
          <w:right w:w="108" w:type="dxa"/>
        </w:tblCellMar>
      </w:tblPr>
      <w:tblGrid>
        <w:gridCol w:w="1459"/>
        <w:gridCol w:w="2542"/>
        <w:gridCol w:w="3380"/>
      </w:tblGrid>
      <w:tr>
        <w:tblPrEx>
          <w:tblCellMar>
            <w:top w:w="0" w:type="dxa"/>
            <w:left w:w="108" w:type="dxa"/>
            <w:bottom w:w="0" w:type="dxa"/>
            <w:right w:w="108" w:type="dxa"/>
          </w:tblCellMar>
        </w:tblPrEx>
        <w:trPr>
          <w:trHeight w:val="356" w:hRule="atLeast"/>
          <w:jc w:val="center"/>
        </w:trPr>
        <w:tc>
          <w:tcPr>
            <w:tcW w:w="400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项目名称</w:t>
            </w:r>
          </w:p>
        </w:tc>
        <w:tc>
          <w:tcPr>
            <w:tcW w:w="3380"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仿宋" w:hAnsi="仿宋" w:eastAsia="仿宋"/>
                <w:b/>
                <w:sz w:val="24"/>
                <w:lang w:val="en-US" w:eastAsia="zh-CN"/>
              </w:rPr>
            </w:pPr>
            <w:r>
              <w:rPr>
                <w:rFonts w:hint="eastAsia" w:ascii="仿宋" w:hAnsi="仿宋" w:eastAsia="仿宋"/>
                <w:b/>
                <w:sz w:val="24"/>
                <w:lang w:val="en-US" w:eastAsia="zh-CN"/>
              </w:rPr>
              <w:t>预（决）算金额（万元）</w:t>
            </w:r>
          </w:p>
        </w:tc>
      </w:tr>
      <w:tr>
        <w:tblPrEx>
          <w:tblCellMar>
            <w:top w:w="0" w:type="dxa"/>
            <w:left w:w="108" w:type="dxa"/>
            <w:bottom w:w="0" w:type="dxa"/>
            <w:right w:w="108" w:type="dxa"/>
          </w:tblCellMar>
        </w:tblPrEx>
        <w:trPr>
          <w:trHeight w:val="414" w:hRule="atLeast"/>
          <w:jc w:val="center"/>
        </w:trPr>
        <w:tc>
          <w:tcPr>
            <w:tcW w:w="1459" w:type="dxa"/>
            <w:vMerge w:val="restart"/>
            <w:tcBorders>
              <w:top w:val="nil"/>
              <w:left w:val="single" w:color="auto" w:sz="4" w:space="0"/>
              <w:right w:val="single" w:color="auto" w:sz="4" w:space="0"/>
            </w:tcBorders>
            <w:vAlign w:val="center"/>
          </w:tcPr>
          <w:p>
            <w:pPr>
              <w:spacing w:line="360" w:lineRule="auto"/>
              <w:jc w:val="center"/>
              <w:rPr>
                <w:rFonts w:hint="eastAsia" w:ascii="仿宋" w:hAnsi="仿宋" w:eastAsia="仿宋"/>
                <w:sz w:val="24"/>
                <w:lang w:eastAsia="zh-CN"/>
              </w:rPr>
            </w:pPr>
            <w:r>
              <w:rPr>
                <w:rFonts w:hint="eastAsia" w:ascii="仿宋" w:hAnsi="仿宋" w:eastAsia="仿宋"/>
                <w:sz w:val="24"/>
                <w:lang w:eastAsia="zh-CN"/>
              </w:rPr>
              <w:t>公务接待费</w:t>
            </w:r>
          </w:p>
        </w:tc>
        <w:tc>
          <w:tcPr>
            <w:tcW w:w="2542" w:type="dxa"/>
            <w:tcBorders>
              <w:top w:val="nil"/>
              <w:left w:val="nil"/>
              <w:bottom w:val="single" w:color="auto" w:sz="4" w:space="0"/>
              <w:right w:val="single" w:color="auto" w:sz="4" w:space="0"/>
            </w:tcBorders>
            <w:vAlign w:val="center"/>
          </w:tcPr>
          <w:p>
            <w:pPr>
              <w:spacing w:line="360" w:lineRule="auto"/>
              <w:rPr>
                <w:rFonts w:hint="default" w:ascii="仿宋" w:hAnsi="仿宋" w:eastAsia="仿宋"/>
                <w:sz w:val="24"/>
                <w:lang w:val="en-US" w:eastAsia="zh-CN"/>
              </w:rPr>
            </w:pPr>
            <w:r>
              <w:rPr>
                <w:rFonts w:hint="eastAsia" w:ascii="仿宋" w:hAnsi="仿宋" w:eastAsia="仿宋"/>
                <w:sz w:val="24"/>
                <w:lang w:val="en-US" w:eastAsia="zh-CN"/>
              </w:rPr>
              <w:t>2019年决算</w:t>
            </w:r>
          </w:p>
        </w:tc>
        <w:tc>
          <w:tcPr>
            <w:tcW w:w="3380"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414" w:hRule="atLeast"/>
          <w:jc w:val="center"/>
        </w:trPr>
        <w:tc>
          <w:tcPr>
            <w:tcW w:w="1459" w:type="dxa"/>
            <w:vMerge w:val="continue"/>
            <w:tcBorders>
              <w:left w:val="single" w:color="auto" w:sz="4" w:space="0"/>
              <w:right w:val="single" w:color="auto" w:sz="4" w:space="0"/>
            </w:tcBorders>
            <w:vAlign w:val="center"/>
          </w:tcPr>
          <w:p>
            <w:pPr>
              <w:spacing w:line="360" w:lineRule="auto"/>
              <w:jc w:val="center"/>
              <w:rPr>
                <w:rFonts w:ascii="仿宋" w:hAnsi="仿宋" w:eastAsia="仿宋"/>
                <w:sz w:val="24"/>
              </w:rPr>
            </w:pPr>
          </w:p>
        </w:tc>
        <w:tc>
          <w:tcPr>
            <w:tcW w:w="2542" w:type="dxa"/>
            <w:tcBorders>
              <w:top w:val="nil"/>
              <w:left w:val="nil"/>
              <w:bottom w:val="single" w:color="auto" w:sz="4" w:space="0"/>
              <w:right w:val="single" w:color="auto" w:sz="4" w:space="0"/>
            </w:tcBorders>
            <w:vAlign w:val="center"/>
          </w:tcPr>
          <w:p>
            <w:pPr>
              <w:spacing w:line="360" w:lineRule="auto"/>
              <w:rPr>
                <w:rFonts w:hint="default" w:ascii="仿宋" w:hAnsi="仿宋" w:eastAsia="仿宋"/>
                <w:sz w:val="24"/>
                <w:lang w:val="en-US" w:eastAsia="zh-CN"/>
              </w:rPr>
            </w:pPr>
            <w:r>
              <w:rPr>
                <w:rFonts w:hint="eastAsia" w:ascii="仿宋" w:hAnsi="仿宋" w:eastAsia="仿宋"/>
                <w:sz w:val="24"/>
                <w:lang w:val="en-US" w:eastAsia="zh-CN"/>
              </w:rPr>
              <w:t>2020年预算</w:t>
            </w:r>
          </w:p>
        </w:tc>
        <w:tc>
          <w:tcPr>
            <w:tcW w:w="3380" w:type="dxa"/>
            <w:tcBorders>
              <w:top w:val="nil"/>
              <w:left w:val="nil"/>
              <w:bottom w:val="single" w:color="auto" w:sz="4" w:space="0"/>
              <w:right w:val="single" w:color="auto" w:sz="4" w:space="0"/>
            </w:tcBorders>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0.6</w:t>
            </w:r>
          </w:p>
        </w:tc>
      </w:tr>
      <w:tr>
        <w:tblPrEx>
          <w:tblCellMar>
            <w:top w:w="0" w:type="dxa"/>
            <w:left w:w="108" w:type="dxa"/>
            <w:bottom w:w="0" w:type="dxa"/>
            <w:right w:w="108" w:type="dxa"/>
          </w:tblCellMar>
        </w:tblPrEx>
        <w:trPr>
          <w:trHeight w:val="750" w:hRule="atLeast"/>
          <w:jc w:val="center"/>
        </w:trPr>
        <w:tc>
          <w:tcPr>
            <w:tcW w:w="1459" w:type="dxa"/>
            <w:vMerge w:val="continue"/>
            <w:tcBorders>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p>
        </w:tc>
        <w:tc>
          <w:tcPr>
            <w:tcW w:w="2542"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lang w:val="en-US" w:eastAsia="zh-CN"/>
              </w:rPr>
              <w:t>2020年决算</w:t>
            </w:r>
          </w:p>
        </w:tc>
        <w:tc>
          <w:tcPr>
            <w:tcW w:w="3380" w:type="dxa"/>
            <w:tcBorders>
              <w:top w:val="nil"/>
              <w:left w:val="nil"/>
              <w:bottom w:val="single" w:color="auto" w:sz="4" w:space="0"/>
              <w:right w:val="single" w:color="auto" w:sz="4" w:space="0"/>
            </w:tcBorders>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0</w:t>
            </w:r>
          </w:p>
        </w:tc>
      </w:tr>
    </w:tbl>
    <w:p>
      <w:pPr>
        <w:spacing w:line="360" w:lineRule="auto"/>
        <w:ind w:firstLine="600" w:firstLineChars="200"/>
        <w:rPr>
          <w:rFonts w:hint="eastAsia" w:ascii="仿宋" w:hAnsi="仿宋" w:eastAsia="仿宋"/>
          <w:sz w:val="30"/>
          <w:szCs w:val="30"/>
        </w:rPr>
      </w:pPr>
      <w:r>
        <w:rPr>
          <w:rFonts w:ascii="仿宋" w:hAnsi="仿宋" w:eastAsia="仿宋"/>
          <w:sz w:val="30"/>
          <w:szCs w:val="30"/>
        </w:rPr>
        <w:t>（二）项目支出情况</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1.项目资金（包括财政资金、自筹资金等）安排落实、总投入等情况分析</w:t>
      </w:r>
    </w:p>
    <w:p>
      <w:pPr>
        <w:spacing w:line="360" w:lineRule="auto"/>
        <w:ind w:firstLine="600" w:firstLineChars="200"/>
        <w:rPr>
          <w:rFonts w:hint="eastAsia" w:ascii="仿宋" w:hAnsi="仿宋" w:eastAsia="仿宋"/>
          <w:sz w:val="30"/>
          <w:szCs w:val="30"/>
          <w:lang w:eastAsia="zh-CN"/>
        </w:rPr>
      </w:pPr>
      <w:r>
        <w:rPr>
          <w:rFonts w:ascii="仿宋" w:hAnsi="仿宋" w:eastAsia="仿宋"/>
          <w:sz w:val="30"/>
          <w:szCs w:val="30"/>
        </w:rPr>
        <w:t>（</w:t>
      </w:r>
      <w:r>
        <w:rPr>
          <w:rFonts w:hint="eastAsia" w:ascii="仿宋" w:hAnsi="仿宋" w:eastAsia="仿宋"/>
          <w:sz w:val="30"/>
          <w:szCs w:val="30"/>
          <w:lang w:val="en-US" w:eastAsia="zh-CN"/>
        </w:rPr>
        <w:t>1</w:t>
      </w:r>
      <w:r>
        <w:rPr>
          <w:rFonts w:ascii="仿宋" w:hAnsi="仿宋" w:eastAsia="仿宋"/>
          <w:sz w:val="30"/>
          <w:szCs w:val="30"/>
        </w:rPr>
        <w:t>）</w:t>
      </w:r>
      <w:r>
        <w:rPr>
          <w:rFonts w:hint="eastAsia" w:ascii="仿宋" w:hAnsi="仿宋" w:eastAsia="仿宋"/>
          <w:sz w:val="30"/>
          <w:szCs w:val="30"/>
          <w:lang w:eastAsia="zh-CN"/>
        </w:rPr>
        <w:t>业务专项资金情况</w:t>
      </w:r>
    </w:p>
    <w:tbl>
      <w:tblPr>
        <w:tblStyle w:val="5"/>
        <w:tblW w:w="8597" w:type="dxa"/>
        <w:jc w:val="center"/>
        <w:tblLayout w:type="autofit"/>
        <w:tblCellMar>
          <w:top w:w="0" w:type="dxa"/>
          <w:left w:w="108" w:type="dxa"/>
          <w:bottom w:w="0" w:type="dxa"/>
          <w:right w:w="108" w:type="dxa"/>
        </w:tblCellMar>
      </w:tblPr>
      <w:tblGrid>
        <w:gridCol w:w="710"/>
        <w:gridCol w:w="2835"/>
        <w:gridCol w:w="3118"/>
        <w:gridCol w:w="1934"/>
      </w:tblGrid>
      <w:tr>
        <w:tblPrEx>
          <w:tblCellMar>
            <w:top w:w="0" w:type="dxa"/>
            <w:left w:w="108" w:type="dxa"/>
            <w:bottom w:w="0" w:type="dxa"/>
            <w:right w:w="108" w:type="dxa"/>
          </w:tblCellMar>
        </w:tblPrEx>
        <w:trPr>
          <w:trHeight w:val="52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序号</w:t>
            </w:r>
          </w:p>
        </w:tc>
        <w:tc>
          <w:tcPr>
            <w:tcW w:w="283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仿宋" w:hAnsi="仿宋" w:eastAsia="仿宋"/>
                <w:b/>
                <w:sz w:val="24"/>
                <w:lang w:eastAsia="zh-CN"/>
              </w:rPr>
            </w:pPr>
            <w:r>
              <w:rPr>
                <w:rFonts w:hint="eastAsia" w:ascii="仿宋" w:hAnsi="仿宋" w:eastAsia="仿宋"/>
                <w:b/>
                <w:sz w:val="24"/>
                <w:lang w:eastAsia="zh-CN"/>
              </w:rPr>
              <w:t>项目名称</w:t>
            </w:r>
          </w:p>
        </w:tc>
        <w:tc>
          <w:tcPr>
            <w:tcW w:w="3118"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仿宋" w:hAnsi="仿宋" w:eastAsia="仿宋"/>
                <w:b/>
                <w:sz w:val="24"/>
                <w:lang w:eastAsia="zh-CN"/>
              </w:rPr>
            </w:pPr>
            <w:r>
              <w:rPr>
                <w:rFonts w:hint="eastAsia" w:ascii="仿宋" w:hAnsi="仿宋" w:eastAsia="仿宋"/>
                <w:b/>
                <w:sz w:val="24"/>
                <w:lang w:eastAsia="zh-CN"/>
              </w:rPr>
              <w:t>资金来源</w:t>
            </w:r>
          </w:p>
        </w:tc>
        <w:tc>
          <w:tcPr>
            <w:tcW w:w="1934" w:type="dxa"/>
            <w:tcBorders>
              <w:top w:val="single" w:color="auto" w:sz="4" w:space="0"/>
              <w:left w:val="nil"/>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lang w:eastAsia="zh-CN"/>
              </w:rPr>
              <w:t>支出</w:t>
            </w:r>
            <w:r>
              <w:rPr>
                <w:rFonts w:hint="eastAsia" w:ascii="仿宋" w:hAnsi="仿宋" w:eastAsia="仿宋"/>
                <w:b/>
                <w:sz w:val="24"/>
              </w:rPr>
              <w:t>金额（万元）</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1</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lang w:eastAsia="zh-CN"/>
              </w:rPr>
            </w:pPr>
            <w:r>
              <w:rPr>
                <w:rFonts w:hint="eastAsia" w:ascii="仿宋" w:hAnsi="仿宋" w:eastAsia="仿宋"/>
                <w:sz w:val="24"/>
                <w:lang w:eastAsia="zh-CN"/>
              </w:rPr>
              <w:t>聘用人员工资保险</w:t>
            </w:r>
          </w:p>
        </w:tc>
        <w:tc>
          <w:tcPr>
            <w:tcW w:w="3118" w:type="dxa"/>
            <w:tcBorders>
              <w:top w:val="nil"/>
              <w:left w:val="nil"/>
              <w:bottom w:val="single" w:color="auto" w:sz="4" w:space="0"/>
              <w:right w:val="single" w:color="auto" w:sz="4" w:space="0"/>
            </w:tcBorders>
            <w:vAlign w:val="center"/>
          </w:tcPr>
          <w:p>
            <w:pPr>
              <w:spacing w:line="360" w:lineRule="auto"/>
              <w:rPr>
                <w:rFonts w:hint="eastAsia" w:ascii="仿宋" w:hAnsi="仿宋" w:eastAsia="仿宋"/>
                <w:sz w:val="24"/>
                <w:lang w:eastAsia="zh-CN"/>
              </w:rPr>
            </w:pPr>
            <w:r>
              <w:rPr>
                <w:rFonts w:hint="eastAsia" w:ascii="仿宋" w:hAnsi="仿宋" w:eastAsia="仿宋"/>
                <w:sz w:val="24"/>
                <w:lang w:eastAsia="zh-CN"/>
              </w:rPr>
              <w:t>非税收入返还资金</w:t>
            </w:r>
          </w:p>
        </w:tc>
        <w:tc>
          <w:tcPr>
            <w:tcW w:w="1934"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226.53</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2</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lang w:eastAsia="zh-CN"/>
              </w:rPr>
            </w:pPr>
            <w:r>
              <w:rPr>
                <w:rFonts w:hint="eastAsia" w:ascii="仿宋" w:hAnsi="仿宋" w:eastAsia="仿宋"/>
                <w:sz w:val="24"/>
                <w:lang w:eastAsia="zh-CN"/>
              </w:rPr>
              <w:t>幼儿伙食费</w:t>
            </w:r>
          </w:p>
        </w:tc>
        <w:tc>
          <w:tcPr>
            <w:tcW w:w="311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lang w:eastAsia="zh-CN"/>
              </w:rPr>
              <w:t>非税收入返还资金</w:t>
            </w:r>
          </w:p>
        </w:tc>
        <w:tc>
          <w:tcPr>
            <w:tcW w:w="1934"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128.84</w:t>
            </w:r>
          </w:p>
        </w:tc>
      </w:tr>
      <w:tr>
        <w:tblPrEx>
          <w:tblCellMar>
            <w:top w:w="0" w:type="dxa"/>
            <w:left w:w="108" w:type="dxa"/>
            <w:bottom w:w="0" w:type="dxa"/>
            <w:right w:w="108" w:type="dxa"/>
          </w:tblCellMar>
        </w:tblPrEx>
        <w:trPr>
          <w:trHeight w:val="525" w:hRule="atLeast"/>
          <w:jc w:val="center"/>
        </w:trPr>
        <w:tc>
          <w:tcPr>
            <w:tcW w:w="3545"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合计</w:t>
            </w:r>
          </w:p>
        </w:tc>
        <w:tc>
          <w:tcPr>
            <w:tcW w:w="3118" w:type="dxa"/>
            <w:tcBorders>
              <w:top w:val="nil"/>
              <w:left w:val="nil"/>
              <w:bottom w:val="single" w:color="auto" w:sz="4" w:space="0"/>
              <w:right w:val="single" w:color="auto" w:sz="4" w:space="0"/>
            </w:tcBorders>
            <w:noWrap/>
            <w:vAlign w:val="center"/>
          </w:tcPr>
          <w:p>
            <w:pPr>
              <w:spacing w:line="360" w:lineRule="auto"/>
              <w:rPr>
                <w:rFonts w:ascii="仿宋" w:hAnsi="仿宋" w:eastAsia="仿宋"/>
                <w:sz w:val="24"/>
              </w:rPr>
            </w:pPr>
            <w:r>
              <w:rPr>
                <w:rFonts w:hint="eastAsia" w:ascii="仿宋" w:hAnsi="仿宋" w:eastAsia="仿宋"/>
                <w:sz w:val="24"/>
              </w:rPr>
              <w:t>　</w:t>
            </w:r>
          </w:p>
        </w:tc>
        <w:tc>
          <w:tcPr>
            <w:tcW w:w="1934"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355.37</w:t>
            </w:r>
          </w:p>
        </w:tc>
      </w:tr>
    </w:tbl>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2020年</w:t>
      </w:r>
      <w:r>
        <w:rPr>
          <w:rFonts w:hint="eastAsia" w:ascii="仿宋" w:hAnsi="仿宋" w:eastAsia="仿宋"/>
          <w:sz w:val="30"/>
          <w:szCs w:val="30"/>
          <w:lang w:eastAsia="zh-CN"/>
        </w:rPr>
        <w:t>业务专项</w:t>
      </w:r>
      <w:r>
        <w:rPr>
          <w:rFonts w:hint="eastAsia" w:ascii="仿宋" w:hAnsi="仿宋" w:eastAsia="仿宋"/>
          <w:sz w:val="30"/>
          <w:szCs w:val="30"/>
        </w:rPr>
        <w:t>项目支出</w:t>
      </w:r>
      <w:r>
        <w:rPr>
          <w:rFonts w:hint="eastAsia" w:ascii="仿宋" w:hAnsi="仿宋" w:eastAsia="仿宋"/>
          <w:sz w:val="30"/>
          <w:szCs w:val="30"/>
          <w:lang w:val="en-US" w:eastAsia="zh-CN"/>
        </w:rPr>
        <w:t>355.37</w:t>
      </w:r>
      <w:r>
        <w:rPr>
          <w:rFonts w:hint="eastAsia" w:ascii="仿宋" w:hAnsi="仿宋" w:eastAsia="仿宋"/>
          <w:sz w:val="30"/>
          <w:szCs w:val="30"/>
        </w:rPr>
        <w:t>万元，其中：</w:t>
      </w:r>
    </w:p>
    <w:p>
      <w:pPr>
        <w:spacing w:line="360" w:lineRule="auto"/>
        <w:ind w:firstLine="600" w:firstLineChars="200"/>
        <w:rPr>
          <w:rFonts w:hint="eastAsia" w:ascii="仿宋" w:hAnsi="仿宋" w:eastAsia="仿宋"/>
          <w:sz w:val="30"/>
          <w:szCs w:val="30"/>
          <w:lang w:eastAsia="zh-CN"/>
        </w:rPr>
      </w:pPr>
      <w:r>
        <w:rPr>
          <w:rFonts w:hint="default" w:ascii="Calibri" w:hAnsi="Calibri" w:eastAsia="仿宋" w:cs="Calibri"/>
          <w:sz w:val="30"/>
          <w:szCs w:val="30"/>
        </w:rPr>
        <w:t>①</w:t>
      </w:r>
      <w:r>
        <w:rPr>
          <w:rFonts w:hint="eastAsia" w:ascii="仿宋" w:hAnsi="仿宋" w:eastAsia="仿宋"/>
          <w:sz w:val="30"/>
          <w:szCs w:val="30"/>
          <w:lang w:eastAsia="zh-CN"/>
        </w:rPr>
        <w:t>聘用人员工资保险</w:t>
      </w:r>
      <w:r>
        <w:rPr>
          <w:rFonts w:hint="eastAsia" w:ascii="仿宋" w:hAnsi="仿宋" w:eastAsia="仿宋"/>
          <w:sz w:val="30"/>
          <w:szCs w:val="30"/>
        </w:rPr>
        <w:t>共计支出</w:t>
      </w:r>
      <w:r>
        <w:rPr>
          <w:rFonts w:hint="eastAsia" w:ascii="仿宋" w:hAnsi="仿宋" w:eastAsia="仿宋"/>
          <w:sz w:val="30"/>
          <w:szCs w:val="30"/>
          <w:lang w:val="en-US" w:eastAsia="zh-CN"/>
        </w:rPr>
        <w:t>226.53</w:t>
      </w:r>
      <w:r>
        <w:rPr>
          <w:rFonts w:hint="eastAsia" w:ascii="仿宋" w:hAnsi="仿宋" w:eastAsia="仿宋"/>
          <w:sz w:val="30"/>
          <w:szCs w:val="30"/>
        </w:rPr>
        <w:t>万元，</w:t>
      </w:r>
      <w:r>
        <w:rPr>
          <w:rFonts w:hint="eastAsia" w:ascii="仿宋" w:hAnsi="仿宋" w:eastAsia="仿宋"/>
          <w:sz w:val="30"/>
          <w:szCs w:val="30"/>
          <w:lang w:eastAsia="zh-CN"/>
        </w:rPr>
        <w:t>主要用于保证聘用人员工资、保险、奖金、福利等支出。</w:t>
      </w:r>
    </w:p>
    <w:p>
      <w:pPr>
        <w:spacing w:line="360" w:lineRule="auto"/>
        <w:ind w:firstLine="600" w:firstLineChars="200"/>
        <w:rPr>
          <w:rFonts w:hint="eastAsia" w:ascii="仿宋" w:hAnsi="仿宋" w:eastAsia="仿宋"/>
          <w:sz w:val="30"/>
          <w:szCs w:val="30"/>
          <w:lang w:eastAsia="zh-CN"/>
        </w:rPr>
      </w:pPr>
      <w:r>
        <w:rPr>
          <w:rFonts w:hint="default" w:ascii="Calibri" w:hAnsi="Calibri" w:eastAsia="仿宋" w:cs="Calibri"/>
          <w:sz w:val="30"/>
          <w:szCs w:val="30"/>
        </w:rPr>
        <w:t>②</w:t>
      </w:r>
      <w:r>
        <w:rPr>
          <w:rFonts w:hint="eastAsia" w:ascii="仿宋" w:hAnsi="仿宋" w:eastAsia="仿宋"/>
          <w:sz w:val="30"/>
          <w:szCs w:val="30"/>
          <w:lang w:eastAsia="zh-CN"/>
        </w:rPr>
        <w:t>幼儿伙食费共计支出</w:t>
      </w:r>
      <w:r>
        <w:rPr>
          <w:rFonts w:hint="eastAsia" w:ascii="仿宋" w:hAnsi="仿宋" w:eastAsia="仿宋"/>
          <w:sz w:val="30"/>
          <w:szCs w:val="30"/>
          <w:lang w:val="en-US" w:eastAsia="zh-CN"/>
        </w:rPr>
        <w:t>128.84</w:t>
      </w:r>
      <w:r>
        <w:rPr>
          <w:rFonts w:hint="eastAsia" w:ascii="仿宋" w:hAnsi="仿宋" w:eastAsia="仿宋"/>
          <w:sz w:val="30"/>
          <w:szCs w:val="30"/>
        </w:rPr>
        <w:t>万元，</w:t>
      </w:r>
      <w:r>
        <w:rPr>
          <w:rFonts w:hint="eastAsia" w:ascii="仿宋" w:hAnsi="仿宋" w:eastAsia="仿宋"/>
          <w:sz w:val="30"/>
          <w:szCs w:val="30"/>
          <w:lang w:eastAsia="zh-CN"/>
        </w:rPr>
        <w:t>主要用于保障幼儿膳食营养均衡，安全卫生，促进幼儿身心健康发展。</w:t>
      </w:r>
    </w:p>
    <w:p>
      <w:pPr>
        <w:spacing w:line="360" w:lineRule="auto"/>
        <w:ind w:firstLine="600" w:firstLineChars="200"/>
        <w:rPr>
          <w:rFonts w:hint="eastAsia" w:ascii="仿宋" w:hAnsi="仿宋" w:eastAsia="仿宋"/>
          <w:sz w:val="30"/>
          <w:szCs w:val="30"/>
          <w:lang w:val="en-US" w:eastAsia="zh-CN"/>
        </w:rPr>
      </w:pPr>
      <w:r>
        <w:rPr>
          <w:rFonts w:ascii="仿宋" w:hAnsi="仿宋" w:eastAsia="仿宋"/>
          <w:sz w:val="30"/>
          <w:szCs w:val="30"/>
        </w:rPr>
        <w:t>（</w:t>
      </w:r>
      <w:r>
        <w:rPr>
          <w:rFonts w:hint="eastAsia" w:ascii="仿宋" w:hAnsi="仿宋" w:eastAsia="仿宋"/>
          <w:sz w:val="30"/>
          <w:szCs w:val="30"/>
          <w:lang w:val="en-US" w:eastAsia="zh-CN"/>
        </w:rPr>
        <w:t>2</w:t>
      </w:r>
      <w:r>
        <w:rPr>
          <w:rFonts w:ascii="仿宋" w:hAnsi="仿宋" w:eastAsia="仿宋"/>
          <w:sz w:val="30"/>
          <w:szCs w:val="30"/>
        </w:rPr>
        <w:t>）</w:t>
      </w:r>
      <w:r>
        <w:rPr>
          <w:rFonts w:hint="eastAsia" w:ascii="仿宋" w:hAnsi="仿宋" w:eastAsia="仿宋"/>
          <w:sz w:val="30"/>
          <w:szCs w:val="30"/>
          <w:lang w:eastAsia="zh-CN"/>
        </w:rPr>
        <w:t>市级专项资金情况</w:t>
      </w:r>
    </w:p>
    <w:tbl>
      <w:tblPr>
        <w:tblStyle w:val="5"/>
        <w:tblW w:w="10537" w:type="dxa"/>
        <w:jc w:val="center"/>
        <w:tblLayout w:type="fixed"/>
        <w:tblCellMar>
          <w:top w:w="0" w:type="dxa"/>
          <w:left w:w="108" w:type="dxa"/>
          <w:bottom w:w="0" w:type="dxa"/>
          <w:right w:w="108" w:type="dxa"/>
        </w:tblCellMar>
      </w:tblPr>
      <w:tblGrid>
        <w:gridCol w:w="710"/>
        <w:gridCol w:w="2835"/>
        <w:gridCol w:w="3118"/>
        <w:gridCol w:w="1322"/>
        <w:gridCol w:w="1298"/>
        <w:gridCol w:w="1254"/>
      </w:tblGrid>
      <w:tr>
        <w:tblPrEx>
          <w:tblCellMar>
            <w:top w:w="0" w:type="dxa"/>
            <w:left w:w="108" w:type="dxa"/>
            <w:bottom w:w="0" w:type="dxa"/>
            <w:right w:w="108" w:type="dxa"/>
          </w:tblCellMar>
        </w:tblPrEx>
        <w:trPr>
          <w:trHeight w:val="52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序号</w:t>
            </w:r>
          </w:p>
        </w:tc>
        <w:tc>
          <w:tcPr>
            <w:tcW w:w="2835" w:type="dxa"/>
            <w:tcBorders>
              <w:top w:val="single" w:color="auto" w:sz="4" w:space="0"/>
              <w:left w:val="nil"/>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文号</w:t>
            </w:r>
          </w:p>
        </w:tc>
        <w:tc>
          <w:tcPr>
            <w:tcW w:w="3118" w:type="dxa"/>
            <w:tcBorders>
              <w:top w:val="single" w:color="auto" w:sz="4" w:space="0"/>
              <w:left w:val="nil"/>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rPr>
              <w:t>名称</w:t>
            </w:r>
          </w:p>
        </w:tc>
        <w:tc>
          <w:tcPr>
            <w:tcW w:w="1322" w:type="dxa"/>
            <w:tcBorders>
              <w:top w:val="single" w:color="auto" w:sz="4" w:space="0"/>
              <w:left w:val="nil"/>
              <w:bottom w:val="single" w:color="auto" w:sz="4" w:space="0"/>
              <w:right w:val="single" w:color="auto" w:sz="4" w:space="0"/>
            </w:tcBorders>
            <w:vAlign w:val="center"/>
          </w:tcPr>
          <w:p>
            <w:pPr>
              <w:spacing w:line="360" w:lineRule="auto"/>
              <w:jc w:val="center"/>
              <w:rPr>
                <w:rFonts w:ascii="仿宋" w:hAnsi="仿宋" w:eastAsia="仿宋"/>
                <w:b/>
                <w:sz w:val="24"/>
              </w:rPr>
            </w:pPr>
            <w:r>
              <w:rPr>
                <w:rFonts w:hint="eastAsia" w:ascii="仿宋" w:hAnsi="仿宋" w:eastAsia="仿宋"/>
                <w:b/>
                <w:sz w:val="24"/>
                <w:lang w:eastAsia="zh-CN"/>
              </w:rPr>
              <w:t>指标文</w:t>
            </w:r>
            <w:r>
              <w:rPr>
                <w:rFonts w:hint="eastAsia" w:ascii="仿宋" w:hAnsi="仿宋" w:eastAsia="仿宋"/>
                <w:b/>
                <w:sz w:val="24"/>
              </w:rPr>
              <w:t>金额（万元）</w:t>
            </w:r>
          </w:p>
        </w:tc>
        <w:tc>
          <w:tcPr>
            <w:tcW w:w="1298"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仿宋" w:hAnsi="仿宋" w:eastAsia="仿宋"/>
                <w:b/>
                <w:sz w:val="24"/>
                <w:lang w:eastAsia="zh-CN"/>
              </w:rPr>
            </w:pPr>
            <w:r>
              <w:rPr>
                <w:rFonts w:hint="eastAsia" w:ascii="仿宋" w:hAnsi="仿宋" w:eastAsia="仿宋"/>
                <w:b/>
                <w:sz w:val="24"/>
                <w:lang w:eastAsia="zh-CN"/>
              </w:rPr>
              <w:t>非税支出（万元）</w:t>
            </w:r>
          </w:p>
        </w:tc>
        <w:tc>
          <w:tcPr>
            <w:tcW w:w="125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仿宋" w:hAnsi="仿宋" w:eastAsia="仿宋"/>
                <w:b/>
                <w:sz w:val="24"/>
                <w:lang w:eastAsia="zh-CN"/>
              </w:rPr>
            </w:pPr>
            <w:r>
              <w:rPr>
                <w:rFonts w:hint="eastAsia" w:ascii="仿宋" w:hAnsi="仿宋" w:eastAsia="仿宋"/>
                <w:b/>
                <w:sz w:val="24"/>
                <w:lang w:eastAsia="zh-CN"/>
              </w:rPr>
              <w:t>资金结余（万元）</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1</w:t>
            </w:r>
          </w:p>
        </w:tc>
        <w:tc>
          <w:tcPr>
            <w:tcW w:w="2835"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郴财教指〔2020〕005号</w:t>
            </w:r>
          </w:p>
        </w:tc>
        <w:tc>
          <w:tcPr>
            <w:tcW w:w="311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校园安保</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15</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4.62</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2</w:t>
            </w:r>
          </w:p>
        </w:tc>
        <w:tc>
          <w:tcPr>
            <w:tcW w:w="2835"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郴财教指〔2020〕005号</w:t>
            </w:r>
          </w:p>
        </w:tc>
        <w:tc>
          <w:tcPr>
            <w:tcW w:w="311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自动升降路障及门禁设备</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18</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3</w:t>
            </w:r>
          </w:p>
        </w:tc>
        <w:tc>
          <w:tcPr>
            <w:tcW w:w="2835"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郴财教指〔2020〕005号</w:t>
            </w:r>
          </w:p>
        </w:tc>
        <w:tc>
          <w:tcPr>
            <w:tcW w:w="311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教室设施设备添置（苏仙园）</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38</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4</w:t>
            </w:r>
          </w:p>
        </w:tc>
        <w:tc>
          <w:tcPr>
            <w:tcW w:w="2835" w:type="dxa"/>
            <w:tcBorders>
              <w:top w:val="nil"/>
              <w:left w:val="nil"/>
              <w:bottom w:val="single" w:color="auto" w:sz="4" w:space="0"/>
              <w:right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郴财教指〔2020〕005号</w:t>
            </w:r>
          </w:p>
        </w:tc>
        <w:tc>
          <w:tcPr>
            <w:tcW w:w="3118" w:type="dxa"/>
            <w:tcBorders>
              <w:top w:val="nil"/>
              <w:left w:val="nil"/>
              <w:bottom w:val="single" w:color="auto" w:sz="4" w:space="0"/>
              <w:right w:val="single" w:color="auto" w:sz="4" w:space="0"/>
            </w:tcBorders>
            <w:vAlign w:val="center"/>
          </w:tcPr>
          <w:p>
            <w:pPr>
              <w:spacing w:line="360" w:lineRule="auto"/>
              <w:rPr>
                <w:rFonts w:ascii="仿宋" w:hAnsi="仿宋" w:eastAsia="仿宋"/>
                <w:sz w:val="24"/>
              </w:rPr>
            </w:pPr>
            <w:r>
              <w:rPr>
                <w:rFonts w:hint="eastAsia" w:ascii="仿宋" w:hAnsi="仿宋" w:eastAsia="仿宋"/>
                <w:sz w:val="24"/>
              </w:rPr>
              <w:t>公共区域设施更换（中心园）</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40</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lang w:eastAsia="zh-CN"/>
              </w:rPr>
            </w:pPr>
            <w:r>
              <w:rPr>
                <w:rFonts w:hint="eastAsia" w:ascii="仿宋" w:hAnsi="仿宋" w:eastAsia="仿宋"/>
                <w:sz w:val="24"/>
                <w:lang w:eastAsia="zh-CN"/>
              </w:rPr>
              <w:t>郴财预</w:t>
            </w:r>
            <w:r>
              <w:rPr>
                <w:rFonts w:hint="eastAsia" w:ascii="仿宋" w:hAnsi="仿宋" w:eastAsia="仿宋"/>
                <w:sz w:val="24"/>
              </w:rPr>
              <w:t>〔20</w:t>
            </w:r>
            <w:r>
              <w:rPr>
                <w:rFonts w:hint="eastAsia" w:ascii="仿宋" w:hAnsi="仿宋" w:eastAsia="仿宋"/>
                <w:sz w:val="24"/>
                <w:lang w:val="en-US" w:eastAsia="zh-CN"/>
              </w:rPr>
              <w:t>19</w:t>
            </w:r>
            <w:r>
              <w:rPr>
                <w:rFonts w:hint="eastAsia" w:ascii="仿宋" w:hAnsi="仿宋" w:eastAsia="仿宋"/>
                <w:sz w:val="24"/>
              </w:rPr>
              <w:t>〕</w:t>
            </w:r>
            <w:r>
              <w:rPr>
                <w:rFonts w:hint="eastAsia" w:ascii="仿宋" w:hAnsi="仿宋" w:eastAsia="仿宋"/>
                <w:sz w:val="24"/>
                <w:lang w:val="en-US" w:eastAsia="zh-CN"/>
              </w:rPr>
              <w:t>195</w:t>
            </w:r>
            <w:r>
              <w:rPr>
                <w:rFonts w:hint="eastAsia" w:ascii="仿宋" w:hAnsi="仿宋" w:eastAsia="仿宋"/>
                <w:sz w:val="24"/>
              </w:rPr>
              <w:t>号</w:t>
            </w:r>
          </w:p>
        </w:tc>
        <w:tc>
          <w:tcPr>
            <w:tcW w:w="3118" w:type="dxa"/>
            <w:tcBorders>
              <w:top w:val="nil"/>
              <w:left w:val="nil"/>
              <w:bottom w:val="single" w:color="auto" w:sz="4" w:space="0"/>
              <w:right w:val="single" w:color="auto" w:sz="4" w:space="0"/>
            </w:tcBorders>
            <w:vAlign w:val="center"/>
          </w:tcPr>
          <w:p>
            <w:pPr>
              <w:spacing w:line="360" w:lineRule="auto"/>
              <w:rPr>
                <w:rFonts w:hint="eastAsia" w:ascii="仿宋" w:hAnsi="仿宋" w:eastAsia="仿宋"/>
                <w:sz w:val="24"/>
                <w:lang w:eastAsia="zh-CN"/>
              </w:rPr>
            </w:pPr>
            <w:r>
              <w:rPr>
                <w:rFonts w:hint="eastAsia" w:ascii="仿宋" w:hAnsi="仿宋" w:eastAsia="仿宋"/>
                <w:sz w:val="24"/>
                <w:lang w:eastAsia="zh-CN"/>
              </w:rPr>
              <w:t>家庭经济困难幼儿市级补助资金</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1</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6</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rPr>
            </w:pPr>
            <w:r>
              <w:rPr>
                <w:rFonts w:hint="eastAsia" w:ascii="仿宋" w:hAnsi="仿宋" w:eastAsia="仿宋"/>
                <w:sz w:val="24"/>
                <w:lang w:eastAsia="zh-CN"/>
              </w:rPr>
              <w:t>郴财预</w:t>
            </w:r>
            <w:r>
              <w:rPr>
                <w:rFonts w:hint="eastAsia" w:ascii="仿宋" w:hAnsi="仿宋" w:eastAsia="仿宋"/>
                <w:sz w:val="24"/>
              </w:rPr>
              <w:t>〔20</w:t>
            </w:r>
            <w:r>
              <w:rPr>
                <w:rFonts w:hint="eastAsia" w:ascii="仿宋" w:hAnsi="仿宋" w:eastAsia="仿宋"/>
                <w:sz w:val="24"/>
                <w:lang w:val="en-US" w:eastAsia="zh-CN"/>
              </w:rPr>
              <w:t>19</w:t>
            </w:r>
            <w:r>
              <w:rPr>
                <w:rFonts w:hint="eastAsia" w:ascii="仿宋" w:hAnsi="仿宋" w:eastAsia="仿宋"/>
                <w:sz w:val="24"/>
              </w:rPr>
              <w:t>〕</w:t>
            </w:r>
            <w:r>
              <w:rPr>
                <w:rFonts w:hint="eastAsia" w:ascii="仿宋" w:hAnsi="仿宋" w:eastAsia="仿宋"/>
                <w:sz w:val="24"/>
                <w:lang w:val="en-US" w:eastAsia="zh-CN"/>
              </w:rPr>
              <w:t>182</w:t>
            </w:r>
            <w:r>
              <w:rPr>
                <w:rFonts w:hint="eastAsia" w:ascii="仿宋" w:hAnsi="仿宋" w:eastAsia="仿宋"/>
                <w:sz w:val="24"/>
              </w:rPr>
              <w:t>号</w:t>
            </w:r>
          </w:p>
        </w:tc>
        <w:tc>
          <w:tcPr>
            <w:tcW w:w="3118" w:type="dxa"/>
            <w:tcBorders>
              <w:top w:val="nil"/>
              <w:left w:val="nil"/>
              <w:bottom w:val="single" w:color="auto" w:sz="4" w:space="0"/>
              <w:right w:val="single" w:color="auto" w:sz="4" w:space="0"/>
            </w:tcBorders>
            <w:vAlign w:val="center"/>
          </w:tcPr>
          <w:p>
            <w:pPr>
              <w:spacing w:line="360" w:lineRule="auto"/>
              <w:rPr>
                <w:rFonts w:hint="default" w:ascii="仿宋" w:hAnsi="仿宋" w:eastAsia="仿宋"/>
                <w:sz w:val="24"/>
                <w:lang w:val="en-US" w:eastAsia="zh-CN"/>
              </w:rPr>
            </w:pPr>
            <w:r>
              <w:rPr>
                <w:rFonts w:hint="eastAsia" w:ascii="仿宋" w:hAnsi="仿宋" w:eastAsia="仿宋"/>
                <w:sz w:val="24"/>
                <w:lang w:eastAsia="zh-CN"/>
              </w:rPr>
              <w:t>学前教育资助市级配套</w:t>
            </w:r>
            <w:r>
              <w:rPr>
                <w:rFonts w:hint="eastAsia" w:ascii="仿宋" w:hAnsi="仿宋" w:eastAsia="仿宋"/>
                <w:sz w:val="24"/>
                <w:lang w:val="en-US" w:eastAsia="zh-CN"/>
              </w:rPr>
              <w:t>-生均公用经费</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cs="Times New Roman"/>
                <w:kern w:val="2"/>
                <w:sz w:val="24"/>
                <w:szCs w:val="24"/>
                <w:lang w:val="en-US" w:eastAsia="zh-CN" w:bidi="ar-SA"/>
              </w:rPr>
            </w:pPr>
            <w:r>
              <w:rPr>
                <w:rFonts w:hint="eastAsia" w:ascii="仿宋" w:hAnsi="仿宋" w:eastAsia="仿宋"/>
                <w:sz w:val="24"/>
                <w:lang w:val="en-US" w:eastAsia="zh-CN"/>
              </w:rPr>
              <w:t>5.06</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cs="Times New Roman"/>
                <w:kern w:val="2"/>
                <w:sz w:val="24"/>
                <w:szCs w:val="24"/>
                <w:lang w:val="en-US" w:eastAsia="zh-CN" w:bidi="ar-SA"/>
              </w:rPr>
            </w:pPr>
            <w:r>
              <w:rPr>
                <w:rFonts w:hint="eastAsia" w:ascii="仿宋" w:hAnsi="仿宋" w:eastAsia="仿宋"/>
                <w:sz w:val="24"/>
                <w:lang w:val="en-US" w:eastAsia="zh-CN"/>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7</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cs="Times New Roman"/>
                <w:kern w:val="2"/>
                <w:sz w:val="24"/>
                <w:szCs w:val="24"/>
                <w:lang w:val="en-US" w:eastAsia="zh-CN" w:bidi="ar-SA"/>
              </w:rPr>
            </w:pPr>
            <w:r>
              <w:rPr>
                <w:rFonts w:hint="eastAsia" w:ascii="仿宋" w:hAnsi="仿宋" w:eastAsia="仿宋"/>
                <w:sz w:val="24"/>
                <w:lang w:eastAsia="zh-CN"/>
              </w:rPr>
              <w:t>郴财预</w:t>
            </w:r>
            <w:r>
              <w:rPr>
                <w:rFonts w:hint="eastAsia" w:ascii="仿宋" w:hAnsi="仿宋" w:eastAsia="仿宋"/>
                <w:sz w:val="24"/>
              </w:rPr>
              <w:t>〔20</w:t>
            </w:r>
            <w:r>
              <w:rPr>
                <w:rFonts w:hint="eastAsia" w:ascii="仿宋" w:hAnsi="仿宋" w:eastAsia="仿宋"/>
                <w:sz w:val="24"/>
                <w:lang w:val="en-US" w:eastAsia="zh-CN"/>
              </w:rPr>
              <w:t>19</w:t>
            </w:r>
            <w:r>
              <w:rPr>
                <w:rFonts w:hint="eastAsia" w:ascii="仿宋" w:hAnsi="仿宋" w:eastAsia="仿宋"/>
                <w:sz w:val="24"/>
              </w:rPr>
              <w:t>〕</w:t>
            </w:r>
            <w:r>
              <w:rPr>
                <w:rFonts w:hint="eastAsia" w:ascii="仿宋" w:hAnsi="仿宋" w:eastAsia="仿宋"/>
                <w:sz w:val="24"/>
                <w:lang w:val="en-US" w:eastAsia="zh-CN"/>
              </w:rPr>
              <w:t>113</w:t>
            </w:r>
            <w:r>
              <w:rPr>
                <w:rFonts w:hint="eastAsia" w:ascii="仿宋" w:hAnsi="仿宋" w:eastAsia="仿宋"/>
                <w:sz w:val="24"/>
              </w:rPr>
              <w:t>号</w:t>
            </w:r>
          </w:p>
        </w:tc>
        <w:tc>
          <w:tcPr>
            <w:tcW w:w="3118" w:type="dxa"/>
            <w:tcBorders>
              <w:top w:val="nil"/>
              <w:left w:val="nil"/>
              <w:bottom w:val="single" w:color="auto" w:sz="4" w:space="0"/>
              <w:right w:val="single" w:color="auto" w:sz="4" w:space="0"/>
            </w:tcBorders>
            <w:vAlign w:val="center"/>
          </w:tcPr>
          <w:p>
            <w:pPr>
              <w:spacing w:line="360" w:lineRule="auto"/>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2019年学前教育生均公用经费补助资金</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cs="Times New Roman"/>
                <w:kern w:val="2"/>
                <w:sz w:val="24"/>
                <w:szCs w:val="24"/>
                <w:lang w:val="en-US" w:eastAsia="zh-CN" w:bidi="ar-SA"/>
              </w:rPr>
            </w:pPr>
            <w:r>
              <w:rPr>
                <w:rFonts w:hint="eastAsia" w:ascii="仿宋" w:hAnsi="仿宋" w:eastAsia="仿宋"/>
                <w:sz w:val="24"/>
                <w:lang w:val="en-US" w:eastAsia="zh-CN"/>
              </w:rPr>
              <w:t>1.48</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710" w:type="dxa"/>
            <w:tcBorders>
              <w:top w:val="nil"/>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2835" w:type="dxa"/>
            <w:tcBorders>
              <w:top w:val="nil"/>
              <w:left w:val="nil"/>
              <w:bottom w:val="single" w:color="auto" w:sz="4" w:space="0"/>
              <w:right w:val="single" w:color="auto" w:sz="4" w:space="0"/>
            </w:tcBorders>
            <w:vAlign w:val="center"/>
          </w:tcPr>
          <w:p>
            <w:pPr>
              <w:spacing w:line="360" w:lineRule="auto"/>
              <w:jc w:val="center"/>
              <w:rPr>
                <w:rFonts w:hint="eastAsia" w:ascii="仿宋" w:hAnsi="仿宋" w:eastAsia="仿宋"/>
                <w:sz w:val="24"/>
                <w:lang w:eastAsia="zh-CN"/>
              </w:rPr>
            </w:pPr>
            <w:r>
              <w:rPr>
                <w:rFonts w:hint="eastAsia" w:ascii="仿宋" w:hAnsi="仿宋" w:eastAsia="仿宋"/>
                <w:sz w:val="24"/>
              </w:rPr>
              <w:t>郴财教指〔20</w:t>
            </w:r>
            <w:r>
              <w:rPr>
                <w:rFonts w:hint="eastAsia" w:ascii="仿宋" w:hAnsi="仿宋" w:eastAsia="仿宋"/>
                <w:sz w:val="24"/>
                <w:lang w:val="en-US" w:eastAsia="zh-CN"/>
              </w:rPr>
              <w:t>19</w:t>
            </w:r>
            <w:r>
              <w:rPr>
                <w:rFonts w:hint="eastAsia" w:ascii="仿宋" w:hAnsi="仿宋" w:eastAsia="仿宋"/>
                <w:sz w:val="24"/>
              </w:rPr>
              <w:t>〕00</w:t>
            </w:r>
            <w:r>
              <w:rPr>
                <w:rFonts w:hint="eastAsia" w:ascii="仿宋" w:hAnsi="仿宋" w:eastAsia="仿宋"/>
                <w:sz w:val="24"/>
                <w:lang w:val="en-US" w:eastAsia="zh-CN"/>
              </w:rPr>
              <w:t>3</w:t>
            </w:r>
            <w:r>
              <w:rPr>
                <w:rFonts w:hint="eastAsia" w:ascii="仿宋" w:hAnsi="仿宋" w:eastAsia="仿宋"/>
                <w:sz w:val="24"/>
              </w:rPr>
              <w:t>号</w:t>
            </w:r>
          </w:p>
        </w:tc>
        <w:tc>
          <w:tcPr>
            <w:tcW w:w="3118" w:type="dxa"/>
            <w:tcBorders>
              <w:top w:val="nil"/>
              <w:left w:val="nil"/>
              <w:bottom w:val="single" w:color="auto" w:sz="4" w:space="0"/>
              <w:right w:val="single" w:color="auto" w:sz="4" w:space="0"/>
            </w:tcBorders>
            <w:vAlign w:val="center"/>
          </w:tcPr>
          <w:p>
            <w:pPr>
              <w:spacing w:line="360" w:lineRule="auto"/>
              <w:rPr>
                <w:rFonts w:hint="default" w:ascii="仿宋" w:hAnsi="仿宋" w:eastAsia="仿宋"/>
                <w:sz w:val="24"/>
                <w:lang w:val="en-US" w:eastAsia="zh-CN"/>
              </w:rPr>
            </w:pPr>
            <w:r>
              <w:rPr>
                <w:rFonts w:hint="eastAsia" w:ascii="仿宋" w:hAnsi="仿宋" w:eastAsia="仿宋"/>
                <w:sz w:val="24"/>
                <w:lang w:val="en-US" w:eastAsia="zh-CN"/>
              </w:rPr>
              <w:t>教学楼窗户更换</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9.27</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0</w:t>
            </w:r>
          </w:p>
        </w:tc>
      </w:tr>
      <w:tr>
        <w:tblPrEx>
          <w:tblCellMar>
            <w:top w:w="0" w:type="dxa"/>
            <w:left w:w="108" w:type="dxa"/>
            <w:bottom w:w="0" w:type="dxa"/>
            <w:right w:w="108" w:type="dxa"/>
          </w:tblCellMar>
        </w:tblPrEx>
        <w:trPr>
          <w:trHeight w:val="525" w:hRule="atLeast"/>
          <w:jc w:val="center"/>
        </w:trPr>
        <w:tc>
          <w:tcPr>
            <w:tcW w:w="3545"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仿宋" w:hAnsi="仿宋" w:eastAsia="仿宋"/>
                <w:sz w:val="24"/>
              </w:rPr>
            </w:pPr>
            <w:r>
              <w:rPr>
                <w:rFonts w:hint="eastAsia" w:ascii="仿宋" w:hAnsi="仿宋" w:eastAsia="仿宋"/>
                <w:sz w:val="24"/>
              </w:rPr>
              <w:t>合计</w:t>
            </w:r>
          </w:p>
        </w:tc>
        <w:tc>
          <w:tcPr>
            <w:tcW w:w="3118" w:type="dxa"/>
            <w:tcBorders>
              <w:top w:val="nil"/>
              <w:left w:val="nil"/>
              <w:bottom w:val="single" w:color="auto" w:sz="4" w:space="0"/>
              <w:right w:val="single" w:color="auto" w:sz="4" w:space="0"/>
            </w:tcBorders>
            <w:noWrap/>
            <w:vAlign w:val="center"/>
          </w:tcPr>
          <w:p>
            <w:pPr>
              <w:spacing w:line="360" w:lineRule="auto"/>
              <w:rPr>
                <w:rFonts w:ascii="仿宋" w:hAnsi="仿宋" w:eastAsia="仿宋"/>
                <w:sz w:val="24"/>
              </w:rPr>
            </w:pPr>
            <w:r>
              <w:rPr>
                <w:rFonts w:hint="eastAsia" w:ascii="仿宋" w:hAnsi="仿宋" w:eastAsia="仿宋"/>
                <w:sz w:val="24"/>
              </w:rPr>
              <w:t>　</w:t>
            </w:r>
          </w:p>
        </w:tc>
        <w:tc>
          <w:tcPr>
            <w:tcW w:w="1322"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126.81</w:t>
            </w:r>
          </w:p>
        </w:tc>
        <w:tc>
          <w:tcPr>
            <w:tcW w:w="1298" w:type="dxa"/>
            <w:tcBorders>
              <w:top w:val="nil"/>
              <w:left w:val="nil"/>
              <w:bottom w:val="single" w:color="auto" w:sz="4" w:space="0"/>
              <w:right w:val="single" w:color="auto" w:sz="4" w:space="0"/>
            </w:tcBorders>
            <w:noWrap/>
            <w:vAlign w:val="center"/>
          </w:tcPr>
          <w:p>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4.62</w:t>
            </w:r>
          </w:p>
        </w:tc>
        <w:tc>
          <w:tcPr>
            <w:tcW w:w="1254" w:type="dxa"/>
            <w:tcBorders>
              <w:top w:val="nil"/>
              <w:left w:val="nil"/>
              <w:bottom w:val="single" w:color="auto" w:sz="4" w:space="0"/>
              <w:right w:val="single" w:color="auto" w:sz="4" w:space="0"/>
            </w:tcBorders>
            <w:noWrap/>
            <w:vAlign w:val="center"/>
          </w:tcPr>
          <w:p>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1</w:t>
            </w:r>
          </w:p>
        </w:tc>
      </w:tr>
    </w:tbl>
    <w:p>
      <w:pPr>
        <w:spacing w:line="360" w:lineRule="auto"/>
        <w:ind w:firstLine="600" w:firstLineChars="200"/>
        <w:rPr>
          <w:rFonts w:hint="eastAsia" w:ascii="仿宋" w:hAnsi="仿宋" w:eastAsia="仿宋"/>
          <w:sz w:val="30"/>
          <w:szCs w:val="30"/>
        </w:rPr>
      </w:pPr>
      <w:r>
        <w:rPr>
          <w:rFonts w:hint="eastAsia" w:ascii="仿宋" w:hAnsi="仿宋" w:eastAsia="仿宋"/>
          <w:sz w:val="30"/>
          <w:szCs w:val="30"/>
          <w:lang w:eastAsia="zh-CN"/>
        </w:rPr>
        <w:t>市级专项资金分析：</w:t>
      </w:r>
      <w:r>
        <w:rPr>
          <w:rFonts w:hint="eastAsia" w:ascii="仿宋" w:hAnsi="仿宋" w:eastAsia="仿宋"/>
          <w:sz w:val="30"/>
          <w:szCs w:val="30"/>
        </w:rPr>
        <w:t>2020年财政拨款项目支出111万元，</w:t>
      </w:r>
      <w:r>
        <w:rPr>
          <w:rFonts w:hint="eastAsia" w:ascii="仿宋" w:hAnsi="仿宋" w:eastAsia="仿宋"/>
          <w:sz w:val="30"/>
          <w:szCs w:val="30"/>
          <w:lang w:eastAsia="zh-CN"/>
        </w:rPr>
        <w:t>教育资金市级配套资金下达</w:t>
      </w:r>
      <w:r>
        <w:rPr>
          <w:rFonts w:hint="eastAsia" w:ascii="仿宋" w:hAnsi="仿宋" w:eastAsia="仿宋"/>
          <w:sz w:val="30"/>
          <w:szCs w:val="30"/>
          <w:lang w:val="en-US" w:eastAsia="zh-CN"/>
        </w:rPr>
        <w:t>7.54万元，支出6.54万元。</w:t>
      </w:r>
      <w:r>
        <w:rPr>
          <w:rFonts w:hint="eastAsia" w:ascii="仿宋" w:hAnsi="仿宋" w:eastAsia="仿宋"/>
          <w:sz w:val="30"/>
          <w:szCs w:val="30"/>
        </w:rPr>
        <w:t>其中：</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（1）校园安保经费共计支出19.62万元，其中15万元一般公共预算支出安排，4.62万元由非税收入弥补。为幼儿园提供安保服务，提升幼儿园的安全防范水平，确保师生的人身、财产安全，维护幼儿园治安秩序。</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（2）自动升降路障及门禁设备18万元，防止不法车辆进入园内，确保师生的人身、财产安全，维护幼儿园治安秩序。</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（3）教室设施设备添置（苏仙园）38万元，为教育教学需求提供保障，逐步改善办学条件，不断提高幼儿园的办学能力，为教学活动提供更好的基础条件。</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4）公共区域设施更换（中心园）40万元，完善区角设施，为教育教学需求提供保障，对达到报废期不能使用的区角设备进行更换，逐步改善办学条件，不断提高幼儿园的办学能力，为教学活动提供更好的基础条件。保障幼儿园公共场区域游玩安全。</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w:t>
      </w:r>
      <w:r>
        <w:rPr>
          <w:rFonts w:hint="eastAsia" w:ascii="仿宋" w:hAnsi="仿宋" w:eastAsia="仿宋"/>
          <w:sz w:val="30"/>
          <w:szCs w:val="30"/>
          <w:lang w:val="en-US" w:eastAsia="zh-CN"/>
        </w:rPr>
        <w:t>5</w:t>
      </w:r>
      <w:r>
        <w:rPr>
          <w:rFonts w:hint="eastAsia" w:ascii="仿宋" w:hAnsi="仿宋" w:eastAsia="仿宋"/>
          <w:sz w:val="30"/>
          <w:szCs w:val="30"/>
        </w:rPr>
        <w:t>）</w:t>
      </w:r>
      <w:r>
        <w:rPr>
          <w:rFonts w:hint="eastAsia" w:ascii="仿宋" w:hAnsi="仿宋" w:eastAsia="仿宋"/>
          <w:sz w:val="30"/>
          <w:szCs w:val="30"/>
          <w:lang w:eastAsia="zh-CN"/>
        </w:rPr>
        <w:t>教育资金市级配套资金下达</w:t>
      </w:r>
      <w:r>
        <w:rPr>
          <w:rFonts w:hint="eastAsia" w:ascii="仿宋" w:hAnsi="仿宋" w:eastAsia="仿宋"/>
          <w:sz w:val="30"/>
          <w:szCs w:val="30"/>
          <w:lang w:val="en-US" w:eastAsia="zh-CN"/>
        </w:rPr>
        <w:t>7.54万元，支出6.54万元</w:t>
      </w:r>
      <w:r>
        <w:rPr>
          <w:rFonts w:hint="eastAsia" w:ascii="仿宋" w:hAnsi="仿宋" w:eastAsia="仿宋"/>
          <w:sz w:val="30"/>
          <w:szCs w:val="30"/>
        </w:rPr>
        <w:t>，</w:t>
      </w:r>
      <w:r>
        <w:rPr>
          <w:rFonts w:hint="eastAsia" w:ascii="仿宋" w:hAnsi="仿宋" w:eastAsia="仿宋"/>
          <w:sz w:val="30"/>
          <w:szCs w:val="30"/>
          <w:lang w:eastAsia="zh-CN"/>
        </w:rPr>
        <w:t>生均公用经费用于保育教育活动及行政管理、后勤服务所开展的日常消耗性支出</w:t>
      </w:r>
      <w:r>
        <w:rPr>
          <w:rFonts w:hint="eastAsia" w:ascii="仿宋" w:hAnsi="仿宋" w:eastAsia="仿宋"/>
          <w:sz w:val="30"/>
          <w:szCs w:val="30"/>
        </w:rPr>
        <w:t>。</w:t>
      </w:r>
      <w:r>
        <w:rPr>
          <w:rFonts w:hint="eastAsia" w:ascii="仿宋" w:hAnsi="仿宋" w:eastAsia="仿宋"/>
          <w:sz w:val="30"/>
          <w:szCs w:val="30"/>
          <w:lang w:eastAsia="zh-CN"/>
        </w:rPr>
        <w:t>家庭经济困难幼儿市级补助资金</w:t>
      </w:r>
      <w:r>
        <w:rPr>
          <w:rFonts w:hint="eastAsia" w:ascii="仿宋" w:hAnsi="仿宋" w:eastAsia="仿宋"/>
          <w:sz w:val="30"/>
          <w:szCs w:val="30"/>
          <w:lang w:val="en-US" w:eastAsia="zh-CN"/>
        </w:rPr>
        <w:t>1万元</w:t>
      </w:r>
      <w:r>
        <w:rPr>
          <w:rFonts w:hint="eastAsia" w:ascii="仿宋" w:hAnsi="仿宋" w:eastAsia="仿宋"/>
          <w:sz w:val="30"/>
          <w:szCs w:val="30"/>
          <w:lang w:eastAsia="zh-CN"/>
        </w:rPr>
        <w:t>尚未支出。</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3.项目资金管理情况分析</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园内项目支出严格按照国家财经法规、预算资金管理办法、财务管理制度、园务会议商讨确定以及专项资金管理办法的规定，围绕预算分配权、资金拨付权、行政审批权等关键环节和岗位加强监管工作，把项目资金的审批分配、监督检查与绩效评价结合起来，做到专款专用。遵循先预算、再审批、后支出的原则，确保了财政资金分配和财政审批程序合法，保证了项目资金的合理使用。在资金管理上强化责任意识，建立健全管理制度，落实配套资金，定期调度资金拨付情况，提高预算执行效率和资金使用效益，确保财政资金使用安全。</w:t>
      </w:r>
    </w:p>
    <w:p>
      <w:pPr>
        <w:spacing w:line="360" w:lineRule="auto"/>
        <w:ind w:firstLine="600" w:firstLineChars="200"/>
        <w:rPr>
          <w:rFonts w:hint="eastAsia" w:ascii="黑体" w:hAnsi="黑体" w:eastAsia="黑体"/>
          <w:sz w:val="30"/>
          <w:szCs w:val="30"/>
        </w:rPr>
      </w:pPr>
      <w:r>
        <w:rPr>
          <w:rFonts w:hint="eastAsia" w:ascii="黑体" w:hAnsi="黑体" w:eastAsia="黑体"/>
          <w:sz w:val="30"/>
          <w:szCs w:val="30"/>
        </w:rPr>
        <w:t>三、</w:t>
      </w:r>
      <w:r>
        <w:rPr>
          <w:rFonts w:ascii="黑体" w:hAnsi="黑体" w:eastAsia="黑体"/>
          <w:sz w:val="30"/>
          <w:szCs w:val="30"/>
        </w:rPr>
        <w:t>政府性基金预算支出情况</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无</w:t>
      </w:r>
    </w:p>
    <w:p>
      <w:pPr>
        <w:spacing w:line="360" w:lineRule="auto"/>
        <w:ind w:firstLine="600" w:firstLineChars="200"/>
        <w:rPr>
          <w:rFonts w:hint="eastAsia" w:ascii="黑体" w:hAnsi="黑体" w:eastAsia="黑体"/>
          <w:sz w:val="30"/>
          <w:szCs w:val="30"/>
        </w:rPr>
      </w:pPr>
      <w:r>
        <w:rPr>
          <w:rFonts w:ascii="黑体" w:hAnsi="黑体" w:eastAsia="黑体"/>
          <w:sz w:val="30"/>
          <w:szCs w:val="30"/>
        </w:rPr>
        <w:t>四、国有资本经营预算支出情况</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无</w:t>
      </w:r>
    </w:p>
    <w:p>
      <w:pPr>
        <w:spacing w:line="360" w:lineRule="auto"/>
        <w:ind w:firstLine="600" w:firstLineChars="200"/>
        <w:rPr>
          <w:rFonts w:hint="eastAsia" w:ascii="黑体" w:hAnsi="黑体" w:eastAsia="黑体"/>
          <w:sz w:val="30"/>
          <w:szCs w:val="30"/>
        </w:rPr>
      </w:pPr>
      <w:r>
        <w:rPr>
          <w:rFonts w:ascii="黑体" w:hAnsi="黑体" w:eastAsia="黑体"/>
          <w:sz w:val="30"/>
          <w:szCs w:val="30"/>
        </w:rPr>
        <w:t>五、社会保险基金预算支出情况</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无</w:t>
      </w:r>
    </w:p>
    <w:p>
      <w:pPr>
        <w:spacing w:line="360" w:lineRule="auto"/>
        <w:ind w:firstLine="600" w:firstLineChars="200"/>
        <w:rPr>
          <w:rFonts w:hint="eastAsia" w:ascii="黑体" w:hAnsi="黑体" w:eastAsia="黑体"/>
          <w:sz w:val="30"/>
          <w:szCs w:val="30"/>
        </w:rPr>
      </w:pPr>
      <w:r>
        <w:rPr>
          <w:rFonts w:ascii="黑体" w:hAnsi="黑体" w:eastAsia="黑体"/>
          <w:sz w:val="30"/>
          <w:szCs w:val="30"/>
        </w:rPr>
        <w:t>六、部门整体支出绩效情况</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本部门支出绩效总体良好，各项目标达到了相应时期执行进度，各项专项经费按预算实施，使财政收支预算执行都得了良好的制度保障和实施效果，圆满完成了本年度目标任务；本园安全大局稳定，没有出现任何安全事故。</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1.产出指标完成情况分析</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（1）数量指标</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2020年部门预算基本支出已完成</w:t>
      </w:r>
      <w:r>
        <w:rPr>
          <w:rFonts w:hint="eastAsia" w:ascii="仿宋" w:hAnsi="仿宋" w:eastAsia="仿宋"/>
          <w:sz w:val="30"/>
          <w:szCs w:val="30"/>
          <w:lang w:val="en-US" w:eastAsia="zh-CN"/>
        </w:rPr>
        <w:t>578.76</w:t>
      </w:r>
      <w:r>
        <w:rPr>
          <w:rFonts w:hint="eastAsia" w:ascii="仿宋" w:hAnsi="仿宋" w:eastAsia="仿宋"/>
          <w:sz w:val="30"/>
          <w:szCs w:val="30"/>
        </w:rPr>
        <w:t>万元的拨付工作；部门预算项目支出已完成</w:t>
      </w:r>
      <w:r>
        <w:rPr>
          <w:rFonts w:hint="eastAsia" w:ascii="仿宋" w:hAnsi="仿宋" w:eastAsia="仿宋"/>
          <w:sz w:val="30"/>
          <w:szCs w:val="30"/>
          <w:lang w:val="en-US" w:eastAsia="zh-CN"/>
        </w:rPr>
        <w:t>486.8</w:t>
      </w:r>
      <w:r>
        <w:rPr>
          <w:rFonts w:hint="eastAsia" w:ascii="仿宋" w:hAnsi="仿宋" w:eastAsia="仿宋"/>
          <w:sz w:val="30"/>
          <w:szCs w:val="30"/>
        </w:rPr>
        <w:t>万元的拨付工作。</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（2）质量指标</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各基本支出和项目支出资金已通过财政拨款方式发放，用于维持园内正常教育教学生活。资金及时的拨付，保质保量的完成了园内日常公用开支和项目建设。</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（3）时效指标</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资金严格按照预算及实际情况时间节点发放，预算支出实际完成时间与计划完成时间大致一致。</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（4）成本指标</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厉行节约，无超概算项目比例。</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2.效益指标完成情况分析</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（1）经济效益</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本部门支出绩效总体良好,圆满完成园内年度目标，单位年终绩效考核为良好，保障了教师工资福利待遇。</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（2）社会效益</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通过合理使用园内资金，改善教育教学条件，使教学质量得以保证，师生安全得以保证。</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（3）生态效益</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优化育人环境，全面改善办学条件。</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（4）可持续影响</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园内基础设施建设、教学环境持续改善。</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3.满意度指标完成情况分析</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通过2020年各项资金的合理使用，保障了园内各项工作正常运转、改善了幼儿学习及生活的环境，得到了家长的认可。</w:t>
      </w:r>
    </w:p>
    <w:p>
      <w:pPr>
        <w:spacing w:line="360" w:lineRule="auto"/>
        <w:ind w:firstLine="600" w:firstLineChars="200"/>
        <w:rPr>
          <w:rFonts w:hint="eastAsia" w:ascii="黑体" w:hAnsi="黑体" w:eastAsia="黑体"/>
          <w:sz w:val="30"/>
          <w:szCs w:val="30"/>
        </w:rPr>
      </w:pPr>
      <w:r>
        <w:rPr>
          <w:rFonts w:ascii="黑体" w:hAnsi="黑体" w:eastAsia="黑体"/>
          <w:sz w:val="30"/>
          <w:szCs w:val="30"/>
        </w:rPr>
        <w:t>七、存在的问题及原因分析</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1.某些专项资金发生支出时资金未到账，使用公用经费垫付，后期到账后未能按其名目使用完毕，指标不能完全做到对应使用；</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2.单位绩效管理制度不够健全，各岗位分工不明确，绩效管理意识淡薄</w:t>
      </w:r>
      <w:r>
        <w:rPr>
          <w:rFonts w:ascii="仿宋" w:hAnsi="仿宋" w:eastAsia="仿宋"/>
          <w:sz w:val="30"/>
          <w:szCs w:val="30"/>
        </w:rPr>
        <w:t>。</w:t>
      </w:r>
    </w:p>
    <w:p>
      <w:pPr>
        <w:spacing w:line="360" w:lineRule="auto"/>
        <w:ind w:firstLine="600" w:firstLineChars="200"/>
        <w:rPr>
          <w:rFonts w:hint="eastAsia" w:ascii="黑体" w:hAnsi="黑体" w:eastAsia="黑体"/>
          <w:sz w:val="30"/>
          <w:szCs w:val="30"/>
        </w:rPr>
      </w:pPr>
      <w:r>
        <w:rPr>
          <w:rFonts w:ascii="黑体" w:hAnsi="黑体" w:eastAsia="黑体"/>
          <w:sz w:val="30"/>
          <w:szCs w:val="30"/>
        </w:rPr>
        <w:t>八、下一步改进措施</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我单位今后在执行过程中，做到严格控制支出，合理安排经费，做到细化支出，确保绩效执行和年初设定的绩效相一致。建立健全绩效考评制度，明确各岗位分工职责，使单位人员考核与绩效完成情况挂钩。同时建议财政部门和人社部门在社保基数的核定标准上达成一致，以免造成资金缺口。</w:t>
      </w:r>
    </w:p>
    <w:p>
      <w:pPr>
        <w:spacing w:line="360" w:lineRule="auto"/>
        <w:ind w:firstLine="600" w:firstLineChars="200"/>
        <w:rPr>
          <w:rFonts w:hint="eastAsia" w:ascii="黑体" w:hAnsi="黑体" w:eastAsia="黑体"/>
          <w:sz w:val="30"/>
          <w:szCs w:val="30"/>
        </w:rPr>
      </w:pPr>
      <w:r>
        <w:rPr>
          <w:rFonts w:ascii="黑体" w:hAnsi="黑体" w:eastAsia="黑体"/>
          <w:sz w:val="30"/>
          <w:szCs w:val="30"/>
        </w:rPr>
        <w:t>九、绩效自评结果拟应用和公开情况</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高度重视绩效评价结果的应用工作，积极探索和建立一套与预算管理相结合、多渠道应用评价结果的有效机制，着力提高绩效意识和财政资金使用效益。同时将部门整体支出绩效自评报告在单位门户网站上进行公开，广泛接受社会监督。</w:t>
      </w:r>
    </w:p>
    <w:p>
      <w:pPr>
        <w:spacing w:line="360" w:lineRule="auto"/>
        <w:ind w:firstLine="600" w:firstLineChars="200"/>
        <w:rPr>
          <w:rFonts w:hint="eastAsia" w:ascii="黑体" w:hAnsi="黑体" w:eastAsia="黑体"/>
          <w:sz w:val="30"/>
          <w:szCs w:val="30"/>
        </w:rPr>
      </w:pPr>
      <w:r>
        <w:rPr>
          <w:rFonts w:ascii="仿宋" w:hAnsi="仿宋" w:eastAsia="仿宋"/>
          <w:sz w:val="30"/>
          <w:szCs w:val="30"/>
        </w:rPr>
        <w:t>其他需要说明的情况</w:t>
      </w:r>
    </w:p>
    <w:p>
      <w:pPr>
        <w:spacing w:line="360" w:lineRule="auto"/>
        <w:ind w:firstLine="600" w:firstLineChars="200"/>
        <w:rPr>
          <w:rFonts w:hint="eastAsia" w:ascii="黑体" w:hAnsi="黑体" w:eastAsia="黑体"/>
          <w:sz w:val="30"/>
          <w:szCs w:val="30"/>
        </w:rPr>
      </w:pPr>
      <w:r>
        <w:rPr>
          <w:rFonts w:hint="eastAsia" w:ascii="仿宋" w:hAnsi="仿宋" w:eastAsia="仿宋"/>
          <w:sz w:val="30"/>
          <w:szCs w:val="30"/>
        </w:rPr>
        <w:t>无</w:t>
      </w:r>
    </w:p>
    <w:p>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10781"/>
    <w:multiLevelType w:val="singleLevel"/>
    <w:tmpl w:val="8B410781"/>
    <w:lvl w:ilvl="0" w:tentative="0">
      <w:start w:val="3"/>
      <w:numFmt w:val="decimal"/>
      <w:suff w:val="nothing"/>
      <w:lvlText w:val="%1、"/>
      <w:lvlJc w:val="left"/>
    </w:lvl>
  </w:abstractNum>
  <w:abstractNum w:abstractNumId="1">
    <w:nsid w:val="8D2B2EEB"/>
    <w:multiLevelType w:val="singleLevel"/>
    <w:tmpl w:val="8D2B2EEB"/>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28B73BC"/>
    <w:rsid w:val="02A86793"/>
    <w:rsid w:val="03043FB1"/>
    <w:rsid w:val="0885302A"/>
    <w:rsid w:val="117E11DF"/>
    <w:rsid w:val="19431B4A"/>
    <w:rsid w:val="1EC72DE4"/>
    <w:rsid w:val="26C10C15"/>
    <w:rsid w:val="2D107B6A"/>
    <w:rsid w:val="2F0E0C65"/>
    <w:rsid w:val="30211961"/>
    <w:rsid w:val="3083521C"/>
    <w:rsid w:val="30C70114"/>
    <w:rsid w:val="332408D1"/>
    <w:rsid w:val="34077369"/>
    <w:rsid w:val="361078BD"/>
    <w:rsid w:val="38226511"/>
    <w:rsid w:val="3CCA3927"/>
    <w:rsid w:val="3D0860D3"/>
    <w:rsid w:val="418A593C"/>
    <w:rsid w:val="436D0AEC"/>
    <w:rsid w:val="44E5045A"/>
    <w:rsid w:val="47BE01D6"/>
    <w:rsid w:val="48CB6425"/>
    <w:rsid w:val="4F175D6E"/>
    <w:rsid w:val="65DA12CA"/>
    <w:rsid w:val="66C9210D"/>
    <w:rsid w:val="6A0E1DF3"/>
    <w:rsid w:val="6A14103E"/>
    <w:rsid w:val="6AFD2CF1"/>
    <w:rsid w:val="6C7769F0"/>
    <w:rsid w:val="71B730B2"/>
    <w:rsid w:val="71BB36FC"/>
    <w:rsid w:val="7565006D"/>
    <w:rsid w:val="79334B6F"/>
    <w:rsid w:val="79835DEA"/>
    <w:rsid w:val="7A2321BD"/>
    <w:rsid w:val="7F3F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ascii="Calibri" w:hAnsi="Calibri" w:cs="Calibri"/>
      <w:color w:val="000000"/>
      <w:sz w:val="21"/>
      <w:szCs w:val="21"/>
      <w:u w:val="none"/>
    </w:rPr>
  </w:style>
  <w:style w:type="character" w:customStyle="1" w:styleId="14">
    <w:name w:val="font1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1308</Words>
  <Characters>7462</Characters>
  <Lines>62</Lines>
  <Paragraphs>17</Paragraphs>
  <TotalTime>0</TotalTime>
  <ScaleCrop>false</ScaleCrop>
  <LinksUpToDate>false</LinksUpToDate>
  <CharactersWithSpaces>8753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如烟</cp:lastModifiedBy>
  <cp:lastPrinted>2021-08-03T08:43:00Z</cp:lastPrinted>
  <dcterms:modified xsi:type="dcterms:W3CDTF">2021-08-05T03:45:30Z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FB8E104D4B8945E88DCF2E3360413439</vt:lpwstr>
  </property>
</Properties>
</file>