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17FD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ascii="微软雅黑" w:hAnsi="微软雅黑" w:eastAsia="微软雅黑" w:cs="微软雅黑"/>
          <w:b w:val="0"/>
          <w:bCs w:val="0"/>
          <w:i w:val="0"/>
          <w:iCs w:val="0"/>
          <w:caps w:val="0"/>
          <w:color w:val="333333"/>
          <w:spacing w:val="0"/>
          <w:sz w:val="45"/>
          <w:szCs w:val="45"/>
        </w:rPr>
      </w:pPr>
      <w:r>
        <w:rPr>
          <w:rFonts w:hint="eastAsia" w:ascii="微软雅黑" w:hAnsi="微软雅黑" w:eastAsia="微软雅黑" w:cs="微软雅黑"/>
          <w:b w:val="0"/>
          <w:bCs w:val="0"/>
          <w:i w:val="0"/>
          <w:iCs w:val="0"/>
          <w:caps w:val="0"/>
          <w:color w:val="333333"/>
          <w:spacing w:val="0"/>
          <w:sz w:val="45"/>
          <w:szCs w:val="45"/>
          <w:bdr w:val="none" w:color="auto" w:sz="0" w:space="0"/>
          <w:shd w:val="clear" w:fill="FFFFFF"/>
        </w:rPr>
        <w:t>中共中央办公厅 国务院办公厅印发</w:t>
      </w:r>
      <w:r>
        <w:rPr>
          <w:rFonts w:hint="eastAsia" w:ascii="微软雅黑" w:hAnsi="微软雅黑" w:eastAsia="微软雅黑" w:cs="微软雅黑"/>
          <w:b w:val="0"/>
          <w:bCs w:val="0"/>
          <w:i w:val="0"/>
          <w:iCs w:val="0"/>
          <w:caps w:val="0"/>
          <w:color w:val="333333"/>
          <w:spacing w:val="0"/>
          <w:sz w:val="45"/>
          <w:szCs w:val="45"/>
          <w:bdr w:val="none" w:color="auto" w:sz="0" w:space="0"/>
          <w:shd w:val="clear" w:fill="FFFFFF"/>
        </w:rPr>
        <w:br w:type="textWrapping"/>
      </w:r>
      <w:r>
        <w:rPr>
          <w:rFonts w:hint="eastAsia" w:ascii="微软雅黑" w:hAnsi="微软雅黑" w:eastAsia="微软雅黑" w:cs="微软雅黑"/>
          <w:b w:val="0"/>
          <w:bCs w:val="0"/>
          <w:i w:val="0"/>
          <w:iCs w:val="0"/>
          <w:caps w:val="0"/>
          <w:color w:val="333333"/>
          <w:spacing w:val="0"/>
          <w:sz w:val="45"/>
          <w:szCs w:val="45"/>
          <w:bdr w:val="none" w:color="auto" w:sz="0" w:space="0"/>
          <w:shd w:val="clear" w:fill="FFFFFF"/>
        </w:rPr>
        <w:t>《</w:t>
      </w:r>
      <w:bookmarkStart w:id="0" w:name="_GoBack"/>
      <w:r>
        <w:rPr>
          <w:rFonts w:hint="eastAsia" w:ascii="微软雅黑" w:hAnsi="微软雅黑" w:eastAsia="微软雅黑" w:cs="微软雅黑"/>
          <w:b w:val="0"/>
          <w:bCs w:val="0"/>
          <w:i w:val="0"/>
          <w:iCs w:val="0"/>
          <w:caps w:val="0"/>
          <w:color w:val="333333"/>
          <w:spacing w:val="0"/>
          <w:sz w:val="45"/>
          <w:szCs w:val="45"/>
          <w:bdr w:val="none" w:color="auto" w:sz="0" w:space="0"/>
          <w:shd w:val="clear" w:fill="FFFFFF"/>
        </w:rPr>
        <w:t>关于进一步完善中央财政科研项目资金管理等政策的若干意见</w:t>
      </w:r>
      <w:bookmarkEnd w:id="0"/>
      <w:r>
        <w:rPr>
          <w:rFonts w:hint="eastAsia" w:ascii="微软雅黑" w:hAnsi="微软雅黑" w:eastAsia="微软雅黑" w:cs="微软雅黑"/>
          <w:b w:val="0"/>
          <w:bCs w:val="0"/>
          <w:i w:val="0"/>
          <w:iCs w:val="0"/>
          <w:caps w:val="0"/>
          <w:color w:val="333333"/>
          <w:spacing w:val="0"/>
          <w:sz w:val="45"/>
          <w:szCs w:val="45"/>
          <w:bdr w:val="none" w:color="auto" w:sz="0" w:space="0"/>
          <w:shd w:val="clear" w:fill="FFFFFF"/>
        </w:rPr>
        <w:t>》</w:t>
      </w:r>
    </w:p>
    <w:p w14:paraId="6A2BF7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center"/>
      </w:pPr>
      <w:r>
        <w:rPr>
          <w:rFonts w:hint="eastAsia" w:ascii="微软雅黑" w:hAnsi="微软雅黑" w:eastAsia="微软雅黑" w:cs="微软雅黑"/>
          <w:i w:val="0"/>
          <w:iCs w:val="0"/>
          <w:caps w:val="0"/>
          <w:color w:val="333333"/>
          <w:spacing w:val="0"/>
          <w:sz w:val="24"/>
          <w:szCs w:val="24"/>
          <w:bdr w:val="none" w:color="auto" w:sz="0" w:space="0"/>
          <w:shd w:val="clear" w:fill="FFFFFF"/>
        </w:rPr>
        <w:t>2016年8月1日 来源：新华社</w:t>
      </w:r>
    </w:p>
    <w:p w14:paraId="5D80AF9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近日，中共中央办公厅、国务院办公厅印发了《关于进一步完善中央财政科研项目资金管理等政策的若干意见》，并发出通知，要求各地区各部门结合实际认真贯彻落实。</w:t>
      </w:r>
    </w:p>
    <w:p w14:paraId="175F1C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《关于进一步完善中央财政科研项目资金管理等政策的若干意见》全文如下。</w:t>
      </w:r>
    </w:p>
    <w:p w14:paraId="7BF9558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中共中央、国务院关于深化体制机制改革加快实施创新驱动发展战略的若干意见》和《国务院关于改进加强中央财政科研项目和资金管理的若干意见》印发以来，有力激发了创新创造活力，促进了科技事业发展，但也存在一些改革措施落实不到位、科研项目资金管理不够完善等问题。为贯彻落实中央关于深化改革创新、形成充满活力的科技管理和运行机制的要求，进一步完善中央财政科研项目资金管理等政策，现提出以下意见。</w:t>
      </w:r>
    </w:p>
    <w:p w14:paraId="6198B3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333333"/>
          <w:spacing w:val="0"/>
          <w:sz w:val="24"/>
          <w:szCs w:val="24"/>
          <w:bdr w:val="none" w:color="auto" w:sz="0" w:space="0"/>
          <w:shd w:val="clear" w:fill="FFFFFF"/>
        </w:rPr>
        <w:t>一、总体要求</w:t>
      </w: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14:paraId="2DEF2C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全面贯彻落实党的十八大和十八届三中、四中、五中全会及全国科技创新大会精神，以邓小平理论、“三个代表”重要思想、科学发展观为指导，深入学习贯彻习近平总书记系列重要讲话精神，按照党中央、国务院决策部署，牢固树立和贯彻落实创新、协调、绿色、开放、共享的发展理念，深入实施创新驱动发展战略，促进大众创业、万众创新，进一步推进简政放权、放管结合、优化服务，改革和创新科研经费使用和管理方式，促进形成充满活力的科技管理和运行机制，以深化改革更好激发广大科研人员积极性。</w:t>
      </w:r>
    </w:p>
    <w:p w14:paraId="394258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——坚持以人为本。以调动科研人员积极性和创造性为出发点和落脚点，强化激励机制，加大激励力度，激发创新创造活力。</w:t>
      </w:r>
    </w:p>
    <w:p w14:paraId="5C24A5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——坚持遵循规律。按照科研活动规律和财政预算管理要求，完善管理政策，优化管理流程，改进管理方式，适应科研活动实际需要。</w:t>
      </w:r>
    </w:p>
    <w:p w14:paraId="5EB08FC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坚持“放管服”结合。进一步简政放权、放管结合、优化服务，扩大高校、科研院所在科研项目资金、差旅会议、基本建设、科研仪器设备采购等方面的管理权限，为科研人员潜心研究营造良好环境。同时，加强事中事后监管，严肃查处违法违纪问题。</w:t>
      </w:r>
    </w:p>
    <w:p w14:paraId="377260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——坚持政策落实落地。细化实化政策规定，加强督查，狠抓落实，打通政策执行中的“堵点”，增强科研人员改革的成就感和获得感。</w:t>
      </w:r>
    </w:p>
    <w:p w14:paraId="0F8518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333333"/>
          <w:spacing w:val="0"/>
          <w:sz w:val="24"/>
          <w:szCs w:val="24"/>
          <w:bdr w:val="none" w:color="auto" w:sz="0" w:space="0"/>
          <w:shd w:val="clear" w:fill="FFFFFF"/>
        </w:rPr>
        <w:t>二、改进中央财政科研项目资金管理</w:t>
      </w: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14:paraId="2D3B59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一）简化预算编制，下放预算调剂权限。根据科研活动规律和特点，改进预算编制方法，实行部门预算批复前项目资金预拨制度，保证科研人员及时使用项目资金。下放预算调剂权限，在项目总预算不变的情况下，将直接费用中的材料费、测试化验加工费、燃料动力费、出版／文献／信息传播／知识产权事务费及其他支出预算调剂权下放给项目承担单位。简化预算编制科目，合并会议费、差旅费、国际合作与交流费科目，由科研人员结合科研活动实际需要编制预算并按规定统筹安排使用，其中不超过直接费用10%的，不需要提供预算测算依据。</w:t>
      </w:r>
    </w:p>
    <w:p w14:paraId="1B9791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二）提高间接费用比重，加大绩效激励力度。中央财政科技计划（专项、基金等）中实行公开竞争方式的研发类项目，均要设立间接费用，核定比例可以提高到不超过直接费用扣除设备购置费的一定比例：500万元以下的部分为20%，500万元至1000万元的部分为15%，1000万元以上的部分为13%。加大对科研人员的激励力度，取消绩效支出比例限制。项目承担单位在统筹安排间接费用时，要处理好合理分摊间接成本和对科研人员激励的关系，绩效支出安排与科研人员在项目工作中的实际贡献挂钩。</w:t>
      </w:r>
    </w:p>
    <w:p w14:paraId="068B4F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三）明确劳务费开支范围，不设比例限制。参与项目研究的研究生、博士后、访问学者以及项目聘用的研究人员、科研辅助人员等，均可开支劳务费。项目聘用人员的劳务费开支标准，参照当地科学研究和技术服务业从业人员平均工资水平，根据其在项目研究中承担的工作任务确定，其社会保险补助纳入劳务费科目列支。劳务费预算不设比例限制，由项目承担单位和科研人员据实编制。</w:t>
      </w:r>
    </w:p>
    <w:p w14:paraId="1AF78BB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四）改进结转结余资金留用处理方式。项目实施期间，年度剩余资金可结转下一年度继续使用。项目完成任务目标并通过验收后，结余资金按规定留归项目承担单位使用，在2年内由项目承担单位统筹安排用于科研活动的直接支出；2年后未使用完的，按规定收回。</w:t>
      </w:r>
    </w:p>
    <w:p w14:paraId="23AF708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（五）自主规范管理横向经费。项目承担单位以市场委托方式取得的横向经费，纳入单位财务统一管理，由项目承担单位按照委托方要求或合同约定管理使用。</w:t>
      </w:r>
    </w:p>
    <w:p w14:paraId="36725E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333333"/>
          <w:spacing w:val="0"/>
          <w:sz w:val="24"/>
          <w:szCs w:val="24"/>
          <w:bdr w:val="none" w:color="auto" w:sz="0" w:space="0"/>
          <w:shd w:val="clear" w:fill="FFFFFF"/>
        </w:rPr>
        <w:t>三、完善中央高校、科研院所差旅会议管理</w:t>
      </w: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14:paraId="63F1D92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一）改进中央高校、科研院所教学科研人员差旅费管理。中央高校、科研院所可根据教学、科研、管理工作实际需要，按照精简高效、厉行节约的原则，研究制定差旅费管理办法，合理确定教学科研人员乘坐交通工具等级和住宿费标准。对于难以取得住宿费发票的，中央高校、科研院所在确保真实性的前提下，据实报销城市间交通费，并按规定标准发放伙食补助费和市内交通费。</w:t>
      </w:r>
    </w:p>
    <w:p w14:paraId="71DE24F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二）完善中央高校、科研院所会议管理。中央高校、科研院所因教学、科研需要举办的业务性会议（如学术会议、研讨会、评审会、座谈会、答辩会等），会议次数、天数、人数以及会议费开支范围、标准等，由中央高校、科研院所按照实事求是、精简高效、厉行节约的原则确定。会议代表参加会议所发生的城市间交通费，原则上按差旅费管理规定由所在单位报销；因工作需要，邀请国内外专家、学者和有关人员参加会议，对确需负担的城市间交通费、国际旅费，可由主办单位在会议费等费用中报销。</w:t>
      </w:r>
    </w:p>
    <w:p w14:paraId="08889A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333333"/>
          <w:spacing w:val="0"/>
          <w:sz w:val="24"/>
          <w:szCs w:val="24"/>
          <w:bdr w:val="none" w:color="auto" w:sz="0" w:space="0"/>
          <w:shd w:val="clear" w:fill="FFFFFF"/>
        </w:rPr>
        <w:t>四、完善中央高校、科研院所科研仪器设备采购管理</w:t>
      </w: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14:paraId="607639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一）改进中央高校、科研院所政府采购管理。中央高校、科研院所可自行采购科研仪器设备，自行选择科研仪器设备评审专家。财政部要简化政府采购项目预算调剂和变更政府采购方式审批流程。中央高校、科研院所要切实做好设备采购的监督管理，做到全程公开、透明、可追溯。</w:t>
      </w:r>
    </w:p>
    <w:p w14:paraId="5E6CA1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（二）优化进口仪器设备采购服务。对中央高校、科研院所采购进口仪器设备实行备案制管理。继续落实进口科研教学用品免税政策。</w:t>
      </w:r>
    </w:p>
    <w:p w14:paraId="2B6B9F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333333"/>
          <w:spacing w:val="0"/>
          <w:sz w:val="24"/>
          <w:szCs w:val="24"/>
          <w:bdr w:val="none" w:color="auto" w:sz="0" w:space="0"/>
          <w:shd w:val="clear" w:fill="FFFFFF"/>
        </w:rPr>
        <w:t>五、完善中央高校、科研院所基本建设项目管理</w:t>
      </w: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14:paraId="13B1025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一）扩大中央高校、科研院所基本建设项目管理权限。对中央高校、科研院所利用自有资金、不申请政府投资建设的项目，由中央高校、科研院所自主决策，报主管部门备案，不再进行审批。国家发展改革委和中央高校、科研院所主管部门要加强对中央高校、科研院所基本建设项目的指导和监督检查。</w:t>
      </w:r>
    </w:p>
    <w:p w14:paraId="5FCA6B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二）简化中央高校、科研院所基本建设项目审批程序。中央高校、科研院所主管部门要指导中央高校、科研院所编制五年建设规划，对列入规划的基本建设项目不再审批项目建议书。简化中央高校、科研院所基本建设项目城乡规划、用地以及环评、能评等审批手续，缩短审批周期。</w:t>
      </w:r>
    </w:p>
    <w:p w14:paraId="520102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333333"/>
          <w:spacing w:val="0"/>
          <w:sz w:val="24"/>
          <w:szCs w:val="24"/>
          <w:bdr w:val="none" w:color="auto" w:sz="0" w:space="0"/>
          <w:shd w:val="clear" w:fill="FFFFFF"/>
        </w:rPr>
        <w:t>六、规范管理，改进服务</w:t>
      </w: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14:paraId="4375B2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一）强化法人责任，规范资金管理。项目承担单位要认真落实国家有关政策规定，按照权责一致的要求，强化自我约束和自我规范，确保接得住、管得好。制定内部管理办法，落实项目预算调剂、间接费用统筹使用、劳务费分配管理、结余资金使用等管理权限；加强预算审核把关，规范财务支出行为，完善内部风险防控机制，强化资金使用绩效评价，保障资金使用安全规范有效；实行内部公开制度，主动公开项目预算、预算调剂、资金使用（重点是间接费用、外拨资金、结余资金使用）、研究成果等情况。</w:t>
      </w:r>
    </w:p>
    <w:p w14:paraId="5FDFC87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二）加强统筹协调，精简检查评审。科技部、项目主管部门、财政部要加强对科研项目资金监督的制度规范、年度计划、结果运用等的统筹协调，建立职责明确、分工负责的协同工作机制。科技部、项目主管部门要加快清理规范委托中介机构对科研项目开展的各种检查评审，加强对前期已经开展相关检查结果的使用，推进检查结果共享，减少检查数量，改进检查方式，避免重复检查、多头检查、过度检查。</w:t>
      </w:r>
    </w:p>
    <w:p w14:paraId="71CC3B1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三）创新服务方式，让科研人员潜心从事科学研究。项目承担单位要建立健全科研财务助理制度，为科研人员在项目预算编制和调剂、经费支出、财务决算和验收等方面提供专业化服务，科研财务助理所需费用可由项目承担单位根据情况通过科研项目资金等渠道解决。充分利用信息化手段，建立健全单位内部科研、财务部门和项目负责人共享的信息平台，提高科研管理效率和便利化程度。制定符合科研实际需要的内部报销规定，切实解决野外考察、心理测试等科研活动中无法取得发票或财政性票据，以及邀请外国专家来华参加学术交流发生费用等的报销问题。</w:t>
      </w:r>
    </w:p>
    <w:p w14:paraId="4FEFAFA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w:t>
      </w:r>
      <w:r>
        <w:rPr>
          <w:rStyle w:val="6"/>
          <w:rFonts w:hint="eastAsia" w:ascii="微软雅黑" w:hAnsi="微软雅黑" w:eastAsia="微软雅黑" w:cs="微软雅黑"/>
          <w:i w:val="0"/>
          <w:iCs w:val="0"/>
          <w:caps w:val="0"/>
          <w:color w:val="333333"/>
          <w:spacing w:val="0"/>
          <w:sz w:val="24"/>
          <w:szCs w:val="24"/>
          <w:bdr w:val="none" w:color="auto" w:sz="0" w:space="0"/>
          <w:shd w:val="clear" w:fill="FFFFFF"/>
        </w:rPr>
        <w:t>七、加强制度建设和工作督查，确保政策措施落地见效</w:t>
      </w:r>
      <w:r>
        <w:rPr>
          <w:rFonts w:hint="eastAsia" w:ascii="微软雅黑" w:hAnsi="微软雅黑" w:eastAsia="微软雅黑" w:cs="微软雅黑"/>
          <w:i w:val="0"/>
          <w:iCs w:val="0"/>
          <w:caps w:val="0"/>
          <w:color w:val="333333"/>
          <w:spacing w:val="0"/>
          <w:sz w:val="24"/>
          <w:szCs w:val="24"/>
          <w:bdr w:val="none" w:color="auto" w:sz="0" w:space="0"/>
          <w:shd w:val="clear" w:fill="FFFFFF"/>
        </w:rPr>
        <w:t> </w:t>
      </w:r>
    </w:p>
    <w:p w14:paraId="4F35FC9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一）尽快出台操作性强的实施细则。项目主管部门要完善预算编制指南，指导项目承担单位和科研人员科学合理编制项目预算；制定预算评估评审工作细则，优化评估程序和方法，规范评估行为，建立健全与项目申请者及时沟通反馈机制；制定财务验收工作细则，规范委托中介机构开展的财务检查。2016年9月1日前，中央高校、科研院所要制定出台差旅费、会议费内部管理办法，其主管部门要加强工作指导和统筹；2016年年底前，项目主管部门要制定出台相关实施细则，项目承担单位要制定或修订科研项目资金内部管理办法和报销规定。以后年度承担科研项目的单位要于当年制定出台相关管理办法和规定。</w:t>
      </w:r>
    </w:p>
    <w:p w14:paraId="75FBC3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二）加强对政策措施落实情况的督查指导。财政部、科技部要适时组织开展对项目承担单位科研项目资金等管理权限落实、内部管理办法制定、创新服务方式、内控机制建设、相关事项内部公开等情况的督查，对督查情况以适当方式进行通报，并将督查结果纳入信用管理，与间接费用核定、结余资金留用等挂钩。审计机关要依法开展对政策措施落实情况和财政资金的审计监督。项目主管部门要督促指导所属单位完善内部管理，确保国家政策规定落到实处。</w:t>
      </w:r>
    </w:p>
    <w:p w14:paraId="29373F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财政部、中央级社科类科研项目主管部门要结合社会科学研究的规律和特点，参照本意见尽快修订中央级社科类科研项目资金管理办法。</w:t>
      </w:r>
    </w:p>
    <w:p w14:paraId="4C60AB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80" w:lineRule="atLeast"/>
        <w:ind w:left="0" w:right="0"/>
        <w:jc w:val="both"/>
      </w:pPr>
      <w:r>
        <w:rPr>
          <w:rFonts w:hint="eastAsia" w:ascii="微软雅黑" w:hAnsi="微软雅黑" w:eastAsia="微软雅黑" w:cs="微软雅黑"/>
          <w:i w:val="0"/>
          <w:iCs w:val="0"/>
          <w:caps w:val="0"/>
          <w:color w:val="333333"/>
          <w:spacing w:val="0"/>
          <w:sz w:val="24"/>
          <w:szCs w:val="24"/>
          <w:bdr w:val="none" w:color="auto" w:sz="0" w:space="0"/>
          <w:shd w:val="clear" w:fill="FFFFFF"/>
        </w:rPr>
        <w:t>　　各地区要参照本意见精神，结合实际，加快推进科研项目资金管理改革等各项工作。</w:t>
      </w:r>
    </w:p>
    <w:p w14:paraId="56713A0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3A60C8"/>
    <w:rsid w:val="3C3A60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2025-07-29T02:41:00Z</dcterms:created>
  <dc:creator>Michael_MLF</dc:creator>
  <cp:lastModifiedBy>Michael_MLF</cp:lastModifiedBy>
  <dcterms:modified xsi:type="dcterms:W3CDTF">2025-07-29T02:42:20Z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C82F559FFDD9439F9EDED21F7D66AD7A_11</vt:lpwstr>
  </property>
  <property fmtid="{D5CDD505-2E9C-101B-9397-08002B2CF9AE}" pid="4" name="KSOTemplateDocerSaveRecord">
    <vt:lpwstr>eyJoZGlkIjoiODFjYmQ2YTRiNzIxZGZiMGRhYmVmYjNjMTk2ZjkzYWYiLCJ1c2VySWQiOiI1MTcyNDg5NTQifQ==</vt:lpwstr>
  </property>
</Properties>
</file>